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1012" w14:textId="335CC8F2" w:rsidR="00B40B62" w:rsidRPr="006B5C06" w:rsidRDefault="0008133F" w:rsidP="0008133F">
      <w:pPr>
        <w:tabs>
          <w:tab w:val="left" w:pos="1390"/>
        </w:tabs>
        <w:ind w:left="142" w:right="872"/>
        <w:rPr>
          <w:rFonts w:ascii="Ping LCG Regular" w:hAnsi="Ping LCG Regular"/>
          <w:b/>
          <w:bCs/>
          <w:color w:val="000000"/>
          <w:sz w:val="28"/>
          <w:szCs w:val="28"/>
          <w:lang w:val="el-GR"/>
        </w:rPr>
      </w:pPr>
      <w:r>
        <w:rPr>
          <w:rFonts w:ascii="Ping LCG Regular" w:hAnsi="Ping LCG Regular"/>
          <w:b/>
          <w:bCs/>
          <w:color w:val="000000"/>
          <w:sz w:val="28"/>
          <w:szCs w:val="28"/>
          <w:lang w:val="el-GR"/>
        </w:rPr>
        <w:tab/>
      </w:r>
    </w:p>
    <w:p w14:paraId="1D786E03" w14:textId="77777777" w:rsidR="004E2199" w:rsidRDefault="004E2199" w:rsidP="00F065EA">
      <w:pPr>
        <w:jc w:val="right"/>
        <w:rPr>
          <w:rFonts w:ascii="Ping LCG Regular" w:hAnsi="Ping LCG Regular"/>
          <w:b/>
          <w:bCs/>
          <w:color w:val="000000"/>
          <w:sz w:val="40"/>
          <w:szCs w:val="40"/>
          <w:lang w:val="el-GR"/>
        </w:rPr>
      </w:pPr>
    </w:p>
    <w:p w14:paraId="2CCE5417" w14:textId="303BE77C" w:rsidR="00054068" w:rsidRPr="00C80A6C" w:rsidRDefault="00604740" w:rsidP="00F065EA">
      <w:pPr>
        <w:jc w:val="right"/>
        <w:rPr>
          <w:rFonts w:ascii="Ping LCG Regular" w:hAnsi="Ping LCG Regular"/>
          <w:b/>
          <w:bCs/>
          <w:color w:val="000000"/>
          <w:sz w:val="40"/>
          <w:szCs w:val="40"/>
          <w:lang w:val="el-GR"/>
        </w:rPr>
      </w:pPr>
      <w:r w:rsidRPr="00C80A6C">
        <w:rPr>
          <w:rFonts w:ascii="Ping LCG Regular" w:hAnsi="Ping LCG Regular"/>
          <w:b/>
          <w:bCs/>
          <w:color w:val="000000"/>
          <w:sz w:val="40"/>
          <w:szCs w:val="40"/>
          <w:lang w:val="el-GR"/>
        </w:rPr>
        <w:t>Δελτίο Τύπου</w:t>
      </w:r>
    </w:p>
    <w:p w14:paraId="785BA584" w14:textId="77777777" w:rsidR="00054068" w:rsidRPr="00C80A6C" w:rsidRDefault="00054068" w:rsidP="00054068">
      <w:pPr>
        <w:rPr>
          <w:rFonts w:ascii="Ping LCG Regular" w:hAnsi="Ping LCG Regular"/>
          <w:b/>
          <w:bCs/>
          <w:color w:val="000000"/>
          <w:sz w:val="28"/>
          <w:szCs w:val="28"/>
          <w:lang w:val="el-GR"/>
        </w:rPr>
      </w:pPr>
    </w:p>
    <w:p w14:paraId="5CB67630" w14:textId="13988802" w:rsidR="00054068" w:rsidRPr="00C80A6C" w:rsidRDefault="00E87685" w:rsidP="0080532B">
      <w:pPr>
        <w:tabs>
          <w:tab w:val="left" w:pos="2127"/>
        </w:tabs>
        <w:ind w:left="1276"/>
        <w:jc w:val="right"/>
        <w:rPr>
          <w:rFonts w:ascii="Ping LCG Regular" w:hAnsi="Ping LCG Regular"/>
          <w:sz w:val="22"/>
          <w:szCs w:val="22"/>
          <w:lang w:val="el-GR"/>
        </w:rPr>
      </w:pPr>
      <w:r w:rsidRPr="00C80A6C">
        <w:rPr>
          <w:rFonts w:ascii="Ping LCG Regular" w:hAnsi="Ping LCG Regular"/>
          <w:sz w:val="22"/>
          <w:szCs w:val="22"/>
          <w:lang w:val="el-GR"/>
        </w:rPr>
        <w:t>9 Απριλίου 2024</w:t>
      </w:r>
    </w:p>
    <w:p w14:paraId="75569AFB" w14:textId="77777777" w:rsidR="00054068" w:rsidRPr="00C80A6C" w:rsidRDefault="00054068" w:rsidP="00E3332E">
      <w:pPr>
        <w:jc w:val="center"/>
        <w:rPr>
          <w:rFonts w:ascii="Ping LCG Regular" w:hAnsi="Ping LCG Regular"/>
          <w:b/>
          <w:bCs/>
          <w:sz w:val="28"/>
          <w:szCs w:val="28"/>
          <w:highlight w:val="yellow"/>
          <w:lang w:val="el-GR"/>
        </w:rPr>
      </w:pPr>
    </w:p>
    <w:p w14:paraId="7F08A19E" w14:textId="3F8DFECB" w:rsidR="008431E9" w:rsidRPr="0097136A" w:rsidRDefault="00D31BCA" w:rsidP="007F6A1A">
      <w:pPr>
        <w:jc w:val="center"/>
        <w:rPr>
          <w:rFonts w:ascii="Ping LCG Regular" w:hAnsi="Ping LCG Regular" w:cstheme="minorHAnsi"/>
          <w:b/>
          <w:bCs/>
          <w:sz w:val="28"/>
          <w:szCs w:val="28"/>
          <w:lang w:val="el-GR"/>
        </w:rPr>
      </w:pPr>
      <w:r w:rsidRPr="0097136A">
        <w:rPr>
          <w:rFonts w:ascii="Ping LCG Regular" w:hAnsi="Ping LCG Regular" w:cstheme="minorHAnsi"/>
          <w:b/>
          <w:bCs/>
          <w:sz w:val="28"/>
          <w:szCs w:val="28"/>
          <w:lang w:val="el-GR"/>
        </w:rPr>
        <w:t xml:space="preserve">Η ΔΕΗ καταγράφει </w:t>
      </w:r>
      <w:r w:rsidRPr="00D31BCA">
        <w:rPr>
          <w:rFonts w:ascii="Ping LCG Regular" w:hAnsi="Ping LCG Regular" w:cstheme="minorHAnsi"/>
          <w:b/>
          <w:bCs/>
          <w:sz w:val="28"/>
          <w:szCs w:val="28"/>
        </w:rPr>
        <w:t>EBITDA</w:t>
      </w:r>
      <w:r w:rsidRPr="0097136A">
        <w:rPr>
          <w:rFonts w:ascii="Ping LCG Regular" w:hAnsi="Ping LCG Regular" w:cstheme="minorHAnsi"/>
          <w:b/>
          <w:bCs/>
          <w:sz w:val="28"/>
          <w:szCs w:val="28"/>
          <w:lang w:val="el-GR"/>
        </w:rPr>
        <w:t xml:space="preserve"> €1,</w:t>
      </w:r>
      <w:r w:rsidR="00B34579" w:rsidRPr="00AD3009">
        <w:rPr>
          <w:rFonts w:ascii="Ping LCG Regular" w:hAnsi="Ping LCG Regular" w:cstheme="minorHAnsi"/>
          <w:b/>
          <w:bCs/>
          <w:sz w:val="28"/>
          <w:szCs w:val="28"/>
          <w:lang w:val="el-GR"/>
        </w:rPr>
        <w:t>5</w:t>
      </w:r>
      <w:r w:rsidR="00B34579" w:rsidRPr="0097136A">
        <w:rPr>
          <w:rFonts w:ascii="Ping LCG Regular" w:hAnsi="Ping LCG Regular" w:cstheme="minorHAnsi"/>
          <w:b/>
          <w:bCs/>
          <w:sz w:val="28"/>
          <w:szCs w:val="28"/>
          <w:lang w:val="el-GR"/>
        </w:rPr>
        <w:t xml:space="preserve"> </w:t>
      </w:r>
      <w:proofErr w:type="spellStart"/>
      <w:r w:rsidRPr="0097136A">
        <w:rPr>
          <w:rFonts w:ascii="Ping LCG Regular" w:hAnsi="Ping LCG Regular" w:cstheme="minorHAnsi"/>
          <w:b/>
          <w:bCs/>
          <w:sz w:val="28"/>
          <w:szCs w:val="28"/>
          <w:lang w:val="el-GR"/>
        </w:rPr>
        <w:t>δισ</w:t>
      </w:r>
      <w:proofErr w:type="spellEnd"/>
      <w:r w:rsidR="00ED1B9E" w:rsidRPr="0097136A">
        <w:rPr>
          <w:rFonts w:ascii="Ping LCG Regular" w:hAnsi="Ping LCG Regular" w:cstheme="minorHAnsi"/>
          <w:b/>
          <w:bCs/>
          <w:sz w:val="28"/>
          <w:szCs w:val="28"/>
          <w:lang w:val="el-GR"/>
        </w:rPr>
        <w:t xml:space="preserve"> </w:t>
      </w:r>
      <w:bookmarkStart w:id="0" w:name="_Hlk163004585"/>
      <w:bookmarkStart w:id="1" w:name="_Hlk162969605"/>
      <w:r w:rsidR="00C145FC" w:rsidRPr="0097136A">
        <w:rPr>
          <w:rFonts w:ascii="Ping LCG Regular" w:hAnsi="Ping LCG Regular" w:cstheme="minorHAnsi"/>
          <w:b/>
          <w:bCs/>
          <w:sz w:val="28"/>
          <w:szCs w:val="28"/>
          <w:lang w:val="el-GR"/>
        </w:rPr>
        <w:t xml:space="preserve">σε επίπεδο </w:t>
      </w:r>
      <w:r w:rsidR="00C145FC" w:rsidRPr="00C145FC">
        <w:rPr>
          <w:rFonts w:ascii="Ping LCG Regular" w:hAnsi="Ping LCG Regular" w:cstheme="minorHAnsi"/>
          <w:b/>
          <w:bCs/>
          <w:sz w:val="28"/>
          <w:szCs w:val="28"/>
        </w:rPr>
        <w:t>pro</w:t>
      </w:r>
      <w:r w:rsidR="00C145FC" w:rsidRPr="0097136A">
        <w:rPr>
          <w:rFonts w:ascii="Ping LCG Regular" w:hAnsi="Ping LCG Regular" w:cstheme="minorHAnsi"/>
          <w:b/>
          <w:bCs/>
          <w:sz w:val="28"/>
          <w:szCs w:val="28"/>
          <w:lang w:val="el-GR"/>
        </w:rPr>
        <w:t>-</w:t>
      </w:r>
      <w:r w:rsidR="00C145FC" w:rsidRPr="00C145FC">
        <w:rPr>
          <w:rFonts w:ascii="Ping LCG Regular" w:hAnsi="Ping LCG Regular" w:cstheme="minorHAnsi"/>
          <w:b/>
          <w:bCs/>
          <w:sz w:val="28"/>
          <w:szCs w:val="28"/>
        </w:rPr>
        <w:t>forma</w:t>
      </w:r>
      <w:r w:rsidR="00C145FC" w:rsidRPr="0097136A">
        <w:rPr>
          <w:rFonts w:ascii="Ping LCG Regular" w:hAnsi="Ping LCG Regular" w:cstheme="minorHAnsi"/>
          <w:b/>
          <w:bCs/>
          <w:sz w:val="28"/>
          <w:szCs w:val="28"/>
          <w:lang w:val="el-GR"/>
        </w:rPr>
        <w:t xml:space="preserve"> </w:t>
      </w:r>
      <w:bookmarkEnd w:id="0"/>
      <w:r w:rsidR="0097136A" w:rsidRPr="0097136A">
        <w:rPr>
          <w:rFonts w:ascii="Ping LCG Regular" w:hAnsi="Ping LCG Regular" w:cstheme="minorHAnsi"/>
          <w:b/>
          <w:bCs/>
          <w:sz w:val="28"/>
          <w:szCs w:val="28"/>
          <w:lang w:val="el-GR"/>
        </w:rPr>
        <w:t>με επαναφορά διανομής μερίσματος €0,2</w:t>
      </w:r>
      <w:r w:rsidR="00107D01" w:rsidRPr="00AD3009">
        <w:rPr>
          <w:rFonts w:ascii="Ping LCG Regular" w:hAnsi="Ping LCG Regular" w:cstheme="minorHAnsi"/>
          <w:b/>
          <w:bCs/>
          <w:sz w:val="28"/>
          <w:szCs w:val="28"/>
          <w:lang w:val="el-GR"/>
        </w:rPr>
        <w:t>5</w:t>
      </w:r>
      <w:r w:rsidR="0097136A" w:rsidRPr="0097136A">
        <w:rPr>
          <w:rFonts w:ascii="Ping LCG Regular" w:hAnsi="Ping LCG Regular" w:cstheme="minorHAnsi"/>
          <w:b/>
          <w:bCs/>
          <w:sz w:val="28"/>
          <w:szCs w:val="28"/>
          <w:lang w:val="el-GR"/>
        </w:rPr>
        <w:t>/μετοχή</w:t>
      </w:r>
    </w:p>
    <w:bookmarkEnd w:id="1"/>
    <w:p w14:paraId="340934DA" w14:textId="3E07CB01" w:rsidR="004C5202" w:rsidRPr="0097136A" w:rsidRDefault="004C5202" w:rsidP="0080532B">
      <w:pPr>
        <w:jc w:val="center"/>
        <w:rPr>
          <w:rFonts w:ascii="Ping LCG Regular" w:hAnsi="Ping LCG Regular"/>
          <w:b/>
          <w:bCs/>
          <w:sz w:val="28"/>
          <w:szCs w:val="28"/>
          <w:lang w:val="el-GR"/>
        </w:rPr>
      </w:pPr>
    </w:p>
    <w:p w14:paraId="5EA23F25" w14:textId="59E8B154" w:rsidR="005B237B" w:rsidRPr="00355D00" w:rsidRDefault="00416022">
      <w:pPr>
        <w:pStyle w:val="ListParagraph"/>
        <w:numPr>
          <w:ilvl w:val="0"/>
          <w:numId w:val="4"/>
        </w:numPr>
        <w:ind w:hanging="218"/>
        <w:jc w:val="both"/>
        <w:rPr>
          <w:rFonts w:ascii="Ping LCG Regular" w:hAnsi="Ping LCG Regular"/>
          <w:i/>
          <w:iCs/>
          <w:sz w:val="22"/>
          <w:szCs w:val="22"/>
          <w:lang w:val="el-GR"/>
        </w:rPr>
      </w:pPr>
      <w:r w:rsidRPr="005B237B">
        <w:rPr>
          <w:rFonts w:ascii="Ping LCG Regular" w:hAnsi="Ping LCG Regular"/>
          <w:i/>
          <w:iCs/>
          <w:sz w:val="22"/>
          <w:szCs w:val="22"/>
          <w:lang w:val="el-GR"/>
        </w:rPr>
        <w:t xml:space="preserve">Αύξηση της </w:t>
      </w:r>
      <w:r w:rsidR="00F92A39" w:rsidRPr="005B237B">
        <w:rPr>
          <w:rFonts w:ascii="Ping LCG Regular" w:hAnsi="Ping LCG Regular"/>
          <w:i/>
          <w:iCs/>
          <w:sz w:val="22"/>
          <w:szCs w:val="22"/>
          <w:lang w:val="el-GR"/>
        </w:rPr>
        <w:t>εγκατεστημένης</w:t>
      </w:r>
      <w:r w:rsidRPr="005B237B">
        <w:rPr>
          <w:rFonts w:ascii="Ping LCG Regular" w:hAnsi="Ping LCG Regular"/>
          <w:i/>
          <w:iCs/>
          <w:sz w:val="22"/>
          <w:szCs w:val="22"/>
          <w:lang w:val="el-GR"/>
        </w:rPr>
        <w:t xml:space="preserve"> </w:t>
      </w:r>
      <w:r w:rsidR="00F92A39" w:rsidRPr="005B237B">
        <w:rPr>
          <w:rFonts w:ascii="Ping LCG Regular" w:hAnsi="Ping LCG Regular"/>
          <w:i/>
          <w:iCs/>
          <w:sz w:val="22"/>
          <w:szCs w:val="22"/>
          <w:lang w:val="el-GR"/>
        </w:rPr>
        <w:t>ισχύος</w:t>
      </w:r>
      <w:r w:rsidRPr="005B237B">
        <w:rPr>
          <w:rFonts w:ascii="Ping LCG Regular" w:hAnsi="Ping LCG Regular"/>
          <w:i/>
          <w:iCs/>
          <w:sz w:val="22"/>
          <w:szCs w:val="22"/>
          <w:lang w:val="el-GR"/>
        </w:rPr>
        <w:t xml:space="preserve"> ΑΠΕ κατά 1,1</w:t>
      </w:r>
      <w:r w:rsidRPr="00190017">
        <w:rPr>
          <w:rFonts w:ascii="Ping LCG Regular" w:hAnsi="Ping LCG Regular"/>
          <w:i/>
          <w:iCs/>
          <w:sz w:val="22"/>
          <w:szCs w:val="22"/>
          <w:lang w:val="el-GR"/>
        </w:rPr>
        <w:t xml:space="preserve"> </w:t>
      </w:r>
      <w:r w:rsidRPr="005B237B">
        <w:rPr>
          <w:rFonts w:ascii="Ping LCG Regular" w:hAnsi="Ping LCG Regular"/>
          <w:i/>
          <w:iCs/>
          <w:sz w:val="22"/>
          <w:szCs w:val="22"/>
        </w:rPr>
        <w:t>GW</w:t>
      </w:r>
      <w:r w:rsidRPr="00190017">
        <w:rPr>
          <w:rFonts w:ascii="Ping LCG Regular" w:hAnsi="Ping LCG Regular"/>
          <w:i/>
          <w:iCs/>
          <w:sz w:val="22"/>
          <w:szCs w:val="22"/>
          <w:lang w:val="el-GR"/>
        </w:rPr>
        <w:t xml:space="preserve"> </w:t>
      </w:r>
      <w:r w:rsidRPr="005B237B">
        <w:rPr>
          <w:rFonts w:ascii="Ping LCG Regular" w:hAnsi="Ping LCG Regular"/>
          <w:i/>
          <w:iCs/>
          <w:sz w:val="22"/>
          <w:szCs w:val="22"/>
          <w:lang w:val="el-GR"/>
        </w:rPr>
        <w:t xml:space="preserve">με </w:t>
      </w:r>
      <w:r w:rsidR="00F92A39" w:rsidRPr="005B237B">
        <w:rPr>
          <w:rFonts w:ascii="Ping LCG Regular" w:hAnsi="Ping LCG Regular"/>
          <w:i/>
          <w:iCs/>
          <w:sz w:val="22"/>
          <w:szCs w:val="22"/>
          <w:lang w:val="el-GR"/>
        </w:rPr>
        <w:t>παράλληλη</w:t>
      </w:r>
      <w:r w:rsidRPr="005B237B">
        <w:rPr>
          <w:rFonts w:ascii="Ping LCG Regular" w:hAnsi="Ping LCG Regular"/>
          <w:i/>
          <w:iCs/>
          <w:sz w:val="22"/>
          <w:szCs w:val="22"/>
          <w:lang w:val="el-GR"/>
        </w:rPr>
        <w:t xml:space="preserve"> μείωση του </w:t>
      </w:r>
      <w:r w:rsidRPr="00355D00">
        <w:rPr>
          <w:rFonts w:ascii="Ping LCG Regular" w:hAnsi="Ping LCG Regular"/>
          <w:i/>
          <w:iCs/>
          <w:sz w:val="22"/>
          <w:szCs w:val="22"/>
          <w:lang w:val="el-GR"/>
        </w:rPr>
        <w:t xml:space="preserve">λιγνίτη κατά  </w:t>
      </w:r>
      <w:r w:rsidR="005B237B" w:rsidRPr="00355D00">
        <w:rPr>
          <w:rFonts w:ascii="Ping LCG Regular" w:hAnsi="Ping LCG Regular"/>
          <w:i/>
          <w:iCs/>
          <w:sz w:val="22"/>
          <w:szCs w:val="22"/>
          <w:lang w:val="el-GR"/>
        </w:rPr>
        <w:t xml:space="preserve">0,9 </w:t>
      </w:r>
      <w:r w:rsidR="005B237B" w:rsidRPr="00355D00">
        <w:rPr>
          <w:rFonts w:ascii="Ping LCG Regular" w:hAnsi="Ping LCG Regular"/>
          <w:i/>
          <w:iCs/>
          <w:sz w:val="22"/>
          <w:szCs w:val="22"/>
        </w:rPr>
        <w:t>GW</w:t>
      </w:r>
    </w:p>
    <w:p w14:paraId="7F2888C7" w14:textId="0F2D6E66" w:rsidR="006F78FA" w:rsidRPr="00AD3009" w:rsidRDefault="004256CF">
      <w:pPr>
        <w:pStyle w:val="ListParagraph"/>
        <w:numPr>
          <w:ilvl w:val="0"/>
          <w:numId w:val="4"/>
        </w:numPr>
        <w:ind w:hanging="218"/>
        <w:jc w:val="both"/>
        <w:rPr>
          <w:rFonts w:ascii="Ping LCG Regular" w:hAnsi="Ping LCG Regular"/>
          <w:i/>
          <w:iCs/>
          <w:sz w:val="22"/>
          <w:szCs w:val="22"/>
          <w:lang w:val="el-GR"/>
        </w:rPr>
      </w:pPr>
      <w:r w:rsidRPr="00355D00">
        <w:rPr>
          <w:rFonts w:ascii="Ping LCG Regular" w:hAnsi="Ping LCG Regular"/>
          <w:i/>
          <w:iCs/>
          <w:sz w:val="22"/>
          <w:szCs w:val="22"/>
          <w:lang w:val="el-GR"/>
        </w:rPr>
        <w:t xml:space="preserve">Έργα ΑΠΕ 2,8 </w:t>
      </w:r>
      <w:r w:rsidRPr="00355D00">
        <w:rPr>
          <w:rFonts w:ascii="Ping LCG Regular" w:hAnsi="Ping LCG Regular"/>
          <w:i/>
          <w:iCs/>
          <w:sz w:val="22"/>
          <w:szCs w:val="22"/>
        </w:rPr>
        <w:t>GW</w:t>
      </w:r>
      <w:r w:rsidRPr="00355D00">
        <w:rPr>
          <w:rFonts w:ascii="Ping LCG Regular" w:hAnsi="Ping LCG Regular"/>
          <w:i/>
          <w:iCs/>
          <w:sz w:val="22"/>
          <w:szCs w:val="22"/>
          <w:lang w:val="el-GR"/>
        </w:rPr>
        <w:t xml:space="preserve"> </w:t>
      </w:r>
      <w:r w:rsidR="00190017" w:rsidRPr="00355D00">
        <w:rPr>
          <w:rFonts w:ascii="Ping LCG Regular" w:hAnsi="Ping LCG Regular"/>
          <w:i/>
          <w:iCs/>
          <w:sz w:val="22"/>
          <w:szCs w:val="22"/>
          <w:lang w:val="el-GR"/>
        </w:rPr>
        <w:t>υπό</w:t>
      </w:r>
      <w:r w:rsidR="000D3BD7" w:rsidRPr="00355D00">
        <w:rPr>
          <w:rFonts w:ascii="Ping LCG Regular" w:hAnsi="Ping LCG Regular"/>
          <w:i/>
          <w:iCs/>
          <w:sz w:val="22"/>
          <w:szCs w:val="22"/>
          <w:lang w:val="el-GR"/>
        </w:rPr>
        <w:t xml:space="preserve"> κατασκευή ή έτοιμα προς κατασκευή,</w:t>
      </w:r>
      <w:r w:rsidR="001850D3" w:rsidRPr="00355D00">
        <w:rPr>
          <w:rFonts w:ascii="Ping LCG Regular" w:hAnsi="Ping LCG Regular"/>
          <w:i/>
          <w:iCs/>
          <w:sz w:val="22"/>
          <w:szCs w:val="22"/>
          <w:lang w:val="el-GR"/>
        </w:rPr>
        <w:t xml:space="preserve"> </w:t>
      </w:r>
      <w:r w:rsidR="00DC3AC1" w:rsidRPr="00AD3009">
        <w:rPr>
          <w:rFonts w:ascii="Ping LCG Regular" w:hAnsi="Ping LCG Regular"/>
          <w:i/>
          <w:iCs/>
          <w:sz w:val="22"/>
          <w:szCs w:val="22"/>
          <w:lang w:val="el-GR"/>
        </w:rPr>
        <w:t>τα οποία</w:t>
      </w:r>
      <w:r w:rsidR="004F421D" w:rsidRPr="00AD3009">
        <w:rPr>
          <w:rFonts w:ascii="Ping LCG Regular" w:hAnsi="Ping LCG Regular"/>
          <w:i/>
          <w:iCs/>
          <w:sz w:val="22"/>
          <w:szCs w:val="22"/>
          <w:lang w:val="el-GR"/>
        </w:rPr>
        <w:t xml:space="preserve"> αντιστοιχ</w:t>
      </w:r>
      <w:r w:rsidR="00DC3AC1" w:rsidRPr="00AD3009">
        <w:rPr>
          <w:rFonts w:ascii="Ping LCG Regular" w:hAnsi="Ping LCG Regular"/>
          <w:i/>
          <w:iCs/>
          <w:sz w:val="22"/>
          <w:szCs w:val="22"/>
          <w:lang w:val="el-GR"/>
        </w:rPr>
        <w:t>ούν</w:t>
      </w:r>
      <w:r w:rsidR="004F421D" w:rsidRPr="00AD3009">
        <w:rPr>
          <w:rFonts w:ascii="Ping LCG Regular" w:hAnsi="Ping LCG Regular"/>
          <w:i/>
          <w:iCs/>
          <w:sz w:val="22"/>
          <w:szCs w:val="22"/>
          <w:lang w:val="el-GR"/>
        </w:rPr>
        <w:t xml:space="preserve"> περίπου στο 70% </w:t>
      </w:r>
      <w:r w:rsidR="00534941" w:rsidRPr="00AD3009">
        <w:rPr>
          <w:rFonts w:ascii="Ping LCG Regular" w:hAnsi="Ping LCG Regular"/>
          <w:i/>
          <w:iCs/>
          <w:sz w:val="22"/>
          <w:szCs w:val="22"/>
          <w:lang w:val="el-GR"/>
        </w:rPr>
        <w:t xml:space="preserve">της </w:t>
      </w:r>
      <w:r w:rsidR="00AF7E34" w:rsidRPr="00AD3009">
        <w:rPr>
          <w:rFonts w:ascii="Ping LCG Regular" w:hAnsi="Ping LCG Regular"/>
          <w:i/>
          <w:iCs/>
          <w:sz w:val="22"/>
          <w:szCs w:val="22"/>
          <w:lang w:val="el-GR"/>
        </w:rPr>
        <w:t xml:space="preserve">ισχύος που απαιτείται για την επίτευξη </w:t>
      </w:r>
      <w:r w:rsidR="004F421D" w:rsidRPr="00AD3009">
        <w:rPr>
          <w:rFonts w:ascii="Ping LCG Regular" w:hAnsi="Ping LCG Regular"/>
          <w:i/>
          <w:iCs/>
          <w:sz w:val="22"/>
          <w:szCs w:val="22"/>
          <w:lang w:val="el-GR"/>
        </w:rPr>
        <w:t>του στόχου για το 2026</w:t>
      </w:r>
    </w:p>
    <w:p w14:paraId="6CC24AC2" w14:textId="2304B829" w:rsidR="009B332A" w:rsidRPr="00017CA5" w:rsidRDefault="009B332A" w:rsidP="00C3233A">
      <w:pPr>
        <w:pStyle w:val="ListParagraph"/>
        <w:numPr>
          <w:ilvl w:val="0"/>
          <w:numId w:val="4"/>
        </w:numPr>
        <w:ind w:hanging="218"/>
        <w:jc w:val="both"/>
        <w:rPr>
          <w:rFonts w:ascii="Ping LCG Regular" w:hAnsi="Ping LCG Regular"/>
          <w:i/>
          <w:iCs/>
          <w:sz w:val="22"/>
          <w:szCs w:val="22"/>
          <w:lang w:val="el-GR"/>
        </w:rPr>
      </w:pPr>
      <w:r w:rsidRPr="00355D00">
        <w:rPr>
          <w:rFonts w:ascii="Ping LCG Regular" w:hAnsi="Ping LCG Regular"/>
          <w:i/>
          <w:iCs/>
          <w:sz w:val="22"/>
          <w:szCs w:val="22"/>
          <w:lang w:val="el-GR"/>
        </w:rPr>
        <w:t>Μείωση των</w:t>
      </w:r>
      <w:r>
        <w:rPr>
          <w:rFonts w:ascii="Ping LCG Regular" w:hAnsi="Ping LCG Regular"/>
          <w:i/>
          <w:iCs/>
          <w:sz w:val="22"/>
          <w:szCs w:val="22"/>
          <w:lang w:val="el-GR"/>
        </w:rPr>
        <w:t xml:space="preserve"> </w:t>
      </w:r>
      <w:r w:rsidR="0023794F" w:rsidRPr="00F92A39">
        <w:rPr>
          <w:rFonts w:ascii="Ping LCG Regular" w:hAnsi="Ping LCG Regular"/>
          <w:i/>
          <w:iCs/>
          <w:sz w:val="22"/>
          <w:szCs w:val="22"/>
          <w:lang w:val="el-GR"/>
        </w:rPr>
        <w:t xml:space="preserve">εκπομπών </w:t>
      </w:r>
      <w:r w:rsidRPr="00F92A39">
        <w:rPr>
          <w:rFonts w:ascii="Ping LCG Regular" w:hAnsi="Ping LCG Regular"/>
          <w:i/>
          <w:iCs/>
          <w:sz w:val="22"/>
          <w:szCs w:val="22"/>
        </w:rPr>
        <w:t>CO</w:t>
      </w:r>
      <w:r w:rsidRPr="00F92A39">
        <w:rPr>
          <w:rFonts w:ascii="Ping LCG Regular" w:hAnsi="Ping LCG Regular"/>
          <w:i/>
          <w:iCs/>
          <w:sz w:val="22"/>
          <w:szCs w:val="22"/>
          <w:vertAlign w:val="subscript"/>
          <w:lang w:val="el-GR"/>
        </w:rPr>
        <w:t xml:space="preserve">2  </w:t>
      </w:r>
      <w:r w:rsidR="00017CA5" w:rsidRPr="00F92A39">
        <w:rPr>
          <w:rFonts w:ascii="Ping LCG Regular" w:hAnsi="Ping LCG Regular"/>
          <w:i/>
          <w:iCs/>
          <w:sz w:val="22"/>
          <w:szCs w:val="22"/>
          <w:lang w:val="el-GR"/>
        </w:rPr>
        <w:t xml:space="preserve">κατά 34% και βελτίωση </w:t>
      </w:r>
      <w:r w:rsidR="000D3BD7" w:rsidRPr="00F92A39">
        <w:rPr>
          <w:rFonts w:ascii="Ping LCG Regular" w:hAnsi="Ping LCG Regular"/>
          <w:i/>
          <w:iCs/>
          <w:sz w:val="22"/>
          <w:szCs w:val="22"/>
          <w:lang w:val="el-GR"/>
        </w:rPr>
        <w:t xml:space="preserve">της βαθμολογίας στο </w:t>
      </w:r>
      <w:r w:rsidR="00017CA5" w:rsidRPr="00F92A39">
        <w:rPr>
          <w:rFonts w:ascii="Ping LCG Regular" w:hAnsi="Ping LCG Regular"/>
          <w:i/>
          <w:iCs/>
          <w:sz w:val="22"/>
          <w:szCs w:val="22"/>
        </w:rPr>
        <w:t>CDP</w:t>
      </w:r>
      <w:r w:rsidR="00017CA5" w:rsidRPr="00F92A39">
        <w:rPr>
          <w:rFonts w:ascii="Ping LCG Regular" w:hAnsi="Ping LCG Regular"/>
          <w:i/>
          <w:iCs/>
          <w:sz w:val="22"/>
          <w:szCs w:val="22"/>
          <w:lang w:val="el-GR"/>
        </w:rPr>
        <w:t xml:space="preserve"> κατά τέσσερις </w:t>
      </w:r>
      <w:r w:rsidR="00017CA5" w:rsidRPr="00190017">
        <w:rPr>
          <w:rFonts w:ascii="Ping LCG Regular" w:hAnsi="Ping LCG Regular"/>
          <w:i/>
          <w:iCs/>
          <w:sz w:val="22"/>
          <w:szCs w:val="22"/>
          <w:lang w:val="el-GR"/>
        </w:rPr>
        <w:t>βαθμίδες</w:t>
      </w:r>
      <w:r w:rsidR="00017CA5" w:rsidRPr="00F92A39">
        <w:rPr>
          <w:rFonts w:ascii="Ping LCG Regular" w:hAnsi="Ping LCG Regular"/>
          <w:i/>
          <w:iCs/>
          <w:sz w:val="22"/>
          <w:szCs w:val="22"/>
          <w:lang w:val="el-GR"/>
        </w:rPr>
        <w:t xml:space="preserve"> σε </w:t>
      </w:r>
      <w:r w:rsidR="00017CA5" w:rsidRPr="00F92A39">
        <w:rPr>
          <w:rFonts w:ascii="Ping LCG Regular" w:hAnsi="Ping LCG Regular"/>
          <w:i/>
          <w:iCs/>
          <w:sz w:val="22"/>
          <w:szCs w:val="22"/>
        </w:rPr>
        <w:t>B</w:t>
      </w:r>
      <w:r w:rsidR="00017CA5" w:rsidRPr="00F92A39">
        <w:rPr>
          <w:rFonts w:ascii="Ping LCG Regular" w:hAnsi="Ping LCG Regular"/>
          <w:i/>
          <w:iCs/>
          <w:sz w:val="22"/>
          <w:szCs w:val="22"/>
          <w:lang w:val="el-GR"/>
        </w:rPr>
        <w:t>-</w:t>
      </w:r>
    </w:p>
    <w:p w14:paraId="6025DD3D" w14:textId="3422848F" w:rsidR="006175FD" w:rsidRDefault="001642BA" w:rsidP="00924DBC">
      <w:pPr>
        <w:pStyle w:val="ListParagraph"/>
        <w:numPr>
          <w:ilvl w:val="0"/>
          <w:numId w:val="4"/>
        </w:numPr>
        <w:ind w:hanging="218"/>
        <w:jc w:val="both"/>
        <w:rPr>
          <w:rFonts w:ascii="Ping LCG Regular" w:hAnsi="Ping LCG Regular"/>
          <w:i/>
          <w:iCs/>
          <w:sz w:val="22"/>
          <w:szCs w:val="22"/>
          <w:lang w:val="el-GR"/>
        </w:rPr>
      </w:pPr>
      <w:r w:rsidRPr="008F6A53">
        <w:rPr>
          <w:rFonts w:ascii="Ping LCG Regular" w:hAnsi="Ping LCG Regular"/>
          <w:i/>
          <w:iCs/>
          <w:sz w:val="22"/>
          <w:szCs w:val="22"/>
          <w:lang w:val="el-GR"/>
        </w:rPr>
        <w:t xml:space="preserve">Αύξηση κατά </w:t>
      </w:r>
      <w:r w:rsidR="0083293A" w:rsidRPr="002D43DD">
        <w:rPr>
          <w:rFonts w:ascii="Ping LCG Regular" w:hAnsi="Ping LCG Regular"/>
          <w:i/>
          <w:iCs/>
          <w:sz w:val="22"/>
          <w:szCs w:val="22"/>
          <w:lang w:val="el-GR"/>
        </w:rPr>
        <w:t>6</w:t>
      </w:r>
      <w:r w:rsidR="00E32BF9" w:rsidRPr="002D43DD">
        <w:rPr>
          <w:rFonts w:ascii="Ping LCG Regular" w:hAnsi="Ping LCG Regular"/>
          <w:i/>
          <w:iCs/>
          <w:sz w:val="22"/>
          <w:szCs w:val="22"/>
          <w:lang w:val="el-GR"/>
        </w:rPr>
        <w:t>1</w:t>
      </w:r>
      <w:r w:rsidR="0083293A" w:rsidRPr="002D43DD">
        <w:rPr>
          <w:rFonts w:ascii="Ping LCG Regular" w:hAnsi="Ping LCG Regular"/>
          <w:i/>
          <w:iCs/>
          <w:sz w:val="22"/>
          <w:szCs w:val="22"/>
          <w:lang w:val="el-GR"/>
        </w:rPr>
        <w:t>%</w:t>
      </w:r>
      <w:r w:rsidR="0083293A" w:rsidRPr="008F6A53">
        <w:rPr>
          <w:rFonts w:ascii="Ping LCG Regular" w:hAnsi="Ping LCG Regular"/>
          <w:i/>
          <w:iCs/>
          <w:sz w:val="22"/>
          <w:szCs w:val="22"/>
          <w:lang w:val="el-GR"/>
        </w:rPr>
        <w:t xml:space="preserve"> </w:t>
      </w:r>
      <w:r w:rsidR="0057217D" w:rsidRPr="008F6A53">
        <w:rPr>
          <w:rFonts w:ascii="Ping LCG Regular" w:hAnsi="Ping LCG Regular"/>
          <w:i/>
          <w:iCs/>
          <w:sz w:val="22"/>
          <w:szCs w:val="22"/>
          <w:lang w:val="el-GR"/>
        </w:rPr>
        <w:t>των επενδύσεων</w:t>
      </w:r>
      <w:r w:rsidR="0083293A" w:rsidRPr="008F6A53">
        <w:rPr>
          <w:rFonts w:ascii="Ping LCG Regular" w:hAnsi="Ping LCG Regular"/>
          <w:i/>
          <w:iCs/>
          <w:sz w:val="22"/>
          <w:szCs w:val="22"/>
          <w:lang w:val="el-GR"/>
        </w:rPr>
        <w:t xml:space="preserve"> σε </w:t>
      </w:r>
      <w:r w:rsidR="000D3BD7" w:rsidRPr="008F6A53">
        <w:rPr>
          <w:rFonts w:ascii="Ping LCG Regular" w:hAnsi="Ping LCG Regular"/>
          <w:i/>
          <w:iCs/>
          <w:sz w:val="22"/>
          <w:szCs w:val="22"/>
          <w:lang w:val="el-GR"/>
        </w:rPr>
        <w:t xml:space="preserve">έργα </w:t>
      </w:r>
      <w:r w:rsidR="0083293A" w:rsidRPr="008F6A53">
        <w:rPr>
          <w:rFonts w:ascii="Ping LCG Regular" w:hAnsi="Ping LCG Regular"/>
          <w:i/>
          <w:iCs/>
          <w:sz w:val="22"/>
          <w:szCs w:val="22"/>
          <w:lang w:val="el-GR"/>
        </w:rPr>
        <w:t>ΑΠΕ και Διανομή</w:t>
      </w:r>
      <w:r w:rsidR="000D3BD7" w:rsidRPr="008F6A53">
        <w:rPr>
          <w:rFonts w:ascii="Ping LCG Regular" w:hAnsi="Ping LCG Regular"/>
          <w:i/>
          <w:iCs/>
          <w:sz w:val="22"/>
          <w:szCs w:val="22"/>
          <w:lang w:val="el-GR"/>
        </w:rPr>
        <w:t>ς</w:t>
      </w:r>
      <w:r w:rsidR="0083293A" w:rsidRPr="008F6A53">
        <w:rPr>
          <w:rFonts w:ascii="Ping LCG Regular" w:hAnsi="Ping LCG Regular"/>
          <w:i/>
          <w:iCs/>
          <w:sz w:val="22"/>
          <w:szCs w:val="22"/>
          <w:lang w:val="el-GR"/>
        </w:rPr>
        <w:t xml:space="preserve"> </w:t>
      </w:r>
      <w:r w:rsidR="00737479" w:rsidRPr="008F6A53">
        <w:rPr>
          <w:rFonts w:ascii="Ping LCG Regular" w:hAnsi="Ping LCG Regular"/>
          <w:i/>
          <w:iCs/>
          <w:sz w:val="22"/>
          <w:szCs w:val="22"/>
          <w:lang w:val="el-GR"/>
        </w:rPr>
        <w:t>σύμφωνα με το</w:t>
      </w:r>
      <w:r w:rsidR="00737479" w:rsidRPr="006175FD">
        <w:rPr>
          <w:rFonts w:ascii="Ping LCG Regular" w:hAnsi="Ping LCG Regular"/>
          <w:i/>
          <w:iCs/>
          <w:sz w:val="22"/>
          <w:szCs w:val="22"/>
          <w:lang w:val="el-GR"/>
        </w:rPr>
        <w:t xml:space="preserve"> στόχο της ΔΕΗ να γίνει </w:t>
      </w:r>
      <w:r w:rsidR="006175FD" w:rsidRPr="006175FD">
        <w:rPr>
          <w:rFonts w:ascii="Ping LCG Regular" w:hAnsi="Ping LCG Regular"/>
          <w:i/>
          <w:iCs/>
          <w:sz w:val="22"/>
          <w:szCs w:val="22"/>
          <w:lang w:val="el-GR"/>
        </w:rPr>
        <w:t>ηγετικός παίκτης καθαρής ενέργειας</w:t>
      </w:r>
      <w:r w:rsidR="0057217D">
        <w:rPr>
          <w:rFonts w:ascii="Ping LCG Regular" w:hAnsi="Ping LCG Regular"/>
          <w:i/>
          <w:iCs/>
          <w:sz w:val="22"/>
          <w:szCs w:val="22"/>
          <w:lang w:val="el-GR"/>
        </w:rPr>
        <w:t xml:space="preserve"> και</w:t>
      </w:r>
      <w:r w:rsidR="006175FD" w:rsidRPr="006175FD">
        <w:rPr>
          <w:rFonts w:ascii="Ping LCG Regular" w:hAnsi="Ping LCG Regular"/>
          <w:i/>
          <w:iCs/>
          <w:sz w:val="22"/>
          <w:szCs w:val="22"/>
          <w:lang w:val="el-GR"/>
        </w:rPr>
        <w:t xml:space="preserve"> κρίσιμων</w:t>
      </w:r>
      <w:r w:rsidR="0057217D">
        <w:rPr>
          <w:rFonts w:ascii="Ping LCG Regular" w:hAnsi="Ping LCG Regular"/>
          <w:i/>
          <w:iCs/>
          <w:sz w:val="22"/>
          <w:szCs w:val="22"/>
          <w:lang w:val="el-GR"/>
        </w:rPr>
        <w:t xml:space="preserve"> </w:t>
      </w:r>
      <w:r w:rsidR="006175FD" w:rsidRPr="0057217D">
        <w:rPr>
          <w:rFonts w:ascii="Ping LCG Regular" w:hAnsi="Ping LCG Regular"/>
          <w:i/>
          <w:iCs/>
          <w:sz w:val="22"/>
          <w:szCs w:val="22"/>
          <w:lang w:val="el-GR"/>
        </w:rPr>
        <w:t xml:space="preserve">υποδομών </w:t>
      </w:r>
      <w:r w:rsidR="00BF36E1" w:rsidRPr="00BF36E1">
        <w:rPr>
          <w:rFonts w:ascii="Ping LCG Regular" w:hAnsi="Ping LCG Regular"/>
          <w:i/>
          <w:iCs/>
          <w:sz w:val="22"/>
          <w:szCs w:val="22"/>
          <w:lang w:val="el-GR"/>
        </w:rPr>
        <w:t xml:space="preserve">και υπηρεσιών </w:t>
      </w:r>
      <w:r w:rsidR="006175FD" w:rsidRPr="0057217D">
        <w:rPr>
          <w:rFonts w:ascii="Ping LCG Regular" w:hAnsi="Ping LCG Regular"/>
          <w:i/>
          <w:iCs/>
          <w:sz w:val="22"/>
          <w:szCs w:val="22"/>
          <w:lang w:val="el-GR"/>
        </w:rPr>
        <w:t xml:space="preserve">στη Νοτιοανατολική Ευρώπη </w:t>
      </w:r>
    </w:p>
    <w:p w14:paraId="379F53C6" w14:textId="27C289D2" w:rsidR="00D83EC5" w:rsidRPr="00B01BC5" w:rsidRDefault="00D83EC5" w:rsidP="00A93E8B">
      <w:pPr>
        <w:pStyle w:val="ListParagraph"/>
        <w:numPr>
          <w:ilvl w:val="0"/>
          <w:numId w:val="4"/>
        </w:numPr>
        <w:ind w:hanging="218"/>
        <w:jc w:val="both"/>
        <w:rPr>
          <w:rFonts w:ascii="Ping LCG Regular" w:hAnsi="Ping LCG Regular"/>
          <w:i/>
          <w:iCs/>
          <w:sz w:val="22"/>
          <w:szCs w:val="22"/>
          <w:lang w:val="el-GR"/>
        </w:rPr>
      </w:pPr>
      <w:r>
        <w:rPr>
          <w:rFonts w:ascii="Ping LCG Regular" w:hAnsi="Ping LCG Regular"/>
          <w:i/>
          <w:iCs/>
          <w:sz w:val="22"/>
          <w:szCs w:val="22"/>
          <w:lang w:val="el-GR"/>
        </w:rPr>
        <w:t xml:space="preserve">Πειθαρχημένη </w:t>
      </w:r>
      <w:r w:rsidR="00F92A39">
        <w:rPr>
          <w:rFonts w:ascii="Ping LCG Regular" w:hAnsi="Ping LCG Regular"/>
          <w:i/>
          <w:iCs/>
          <w:sz w:val="22"/>
          <w:szCs w:val="22"/>
          <w:lang w:val="el-GR"/>
        </w:rPr>
        <w:t>χρηματοοικονομική</w:t>
      </w:r>
      <w:r>
        <w:rPr>
          <w:rFonts w:ascii="Ping LCG Regular" w:hAnsi="Ping LCG Regular"/>
          <w:i/>
          <w:iCs/>
          <w:sz w:val="22"/>
          <w:szCs w:val="22"/>
          <w:lang w:val="el-GR"/>
        </w:rPr>
        <w:t xml:space="preserve"> θέση με </w:t>
      </w:r>
      <w:r w:rsidRPr="00F92A39">
        <w:rPr>
          <w:rFonts w:ascii="Ping LCG Regular" w:hAnsi="Ping LCG Regular"/>
          <w:i/>
          <w:iCs/>
          <w:sz w:val="22"/>
          <w:szCs w:val="22"/>
          <w:lang w:val="el-GR"/>
        </w:rPr>
        <w:t xml:space="preserve">τον </w:t>
      </w:r>
      <w:r w:rsidRPr="00190017">
        <w:rPr>
          <w:rFonts w:ascii="Ping LCG Regular" w:hAnsi="Ping LCG Regular"/>
          <w:i/>
          <w:iCs/>
          <w:sz w:val="22"/>
          <w:szCs w:val="22"/>
          <w:lang w:val="el-GR"/>
        </w:rPr>
        <w:t xml:space="preserve">δείκτη </w:t>
      </w:r>
      <w:r w:rsidR="00EC041A" w:rsidRPr="00F92A39">
        <w:rPr>
          <w:rFonts w:ascii="Ping LCG Regular" w:hAnsi="Ping LCG Regular"/>
          <w:i/>
          <w:iCs/>
          <w:sz w:val="22"/>
          <w:szCs w:val="22"/>
          <w:lang w:val="el-GR"/>
        </w:rPr>
        <w:t>Καθαρό Χρέος/</w:t>
      </w:r>
      <w:r w:rsidR="00EC041A" w:rsidRPr="00F92A39">
        <w:rPr>
          <w:rFonts w:ascii="Ping LCG Regular" w:hAnsi="Ping LCG Regular"/>
          <w:i/>
          <w:iCs/>
          <w:sz w:val="22"/>
          <w:szCs w:val="22"/>
        </w:rPr>
        <w:t>EBITDA</w:t>
      </w:r>
      <w:r w:rsidR="00EC041A" w:rsidRPr="00F92A39">
        <w:rPr>
          <w:rFonts w:ascii="Ping LCG Regular" w:hAnsi="Ping LCG Regular"/>
          <w:i/>
          <w:iCs/>
          <w:sz w:val="22"/>
          <w:szCs w:val="22"/>
          <w:lang w:val="el-GR"/>
        </w:rPr>
        <w:t xml:space="preserve"> </w:t>
      </w:r>
      <w:r w:rsidR="00CC5210" w:rsidRPr="00F92A39">
        <w:rPr>
          <w:rFonts w:ascii="Ping LCG Regular" w:hAnsi="Ping LCG Regular"/>
          <w:i/>
          <w:iCs/>
          <w:sz w:val="22"/>
          <w:szCs w:val="22"/>
          <w:lang w:val="el-GR"/>
        </w:rPr>
        <w:t>στο 2</w:t>
      </w:r>
      <w:r w:rsidR="00CC5210" w:rsidRPr="00F92A39">
        <w:rPr>
          <w:rFonts w:ascii="Ping LCG Regular" w:hAnsi="Ping LCG Regular"/>
          <w:i/>
          <w:iCs/>
          <w:sz w:val="22"/>
          <w:szCs w:val="22"/>
        </w:rPr>
        <w:t>x</w:t>
      </w:r>
      <w:r w:rsidR="00CC5210" w:rsidRPr="00F92A39">
        <w:rPr>
          <w:rFonts w:ascii="Ping LCG Regular" w:hAnsi="Ping LCG Regular"/>
          <w:i/>
          <w:iCs/>
          <w:sz w:val="22"/>
          <w:szCs w:val="22"/>
          <w:lang w:val="el-GR"/>
        </w:rPr>
        <w:t xml:space="preserve">, </w:t>
      </w:r>
      <w:r w:rsidR="00EC041A" w:rsidRPr="00F92A39">
        <w:rPr>
          <w:rFonts w:ascii="Ping LCG Regular" w:hAnsi="Ping LCG Regular"/>
          <w:i/>
          <w:iCs/>
          <w:sz w:val="22"/>
          <w:szCs w:val="22"/>
          <w:lang w:val="el-GR"/>
        </w:rPr>
        <w:t xml:space="preserve">αρκετά </w:t>
      </w:r>
      <w:r w:rsidR="00CC5210" w:rsidRPr="00F92A39">
        <w:rPr>
          <w:rFonts w:ascii="Ping LCG Regular" w:hAnsi="Ping LCG Regular"/>
          <w:i/>
          <w:iCs/>
          <w:sz w:val="22"/>
          <w:szCs w:val="22"/>
          <w:lang w:val="el-GR"/>
        </w:rPr>
        <w:t xml:space="preserve">χαμηλότερα από </w:t>
      </w:r>
      <w:r w:rsidR="00EC2AC1" w:rsidRPr="00F92A39">
        <w:rPr>
          <w:rFonts w:ascii="Ping LCG Regular" w:hAnsi="Ping LCG Regular"/>
          <w:i/>
          <w:iCs/>
          <w:sz w:val="22"/>
          <w:szCs w:val="22"/>
          <w:lang w:val="el-GR"/>
        </w:rPr>
        <w:t xml:space="preserve">το ανώτατο όριο του </w:t>
      </w:r>
      <w:r w:rsidR="00D26D9A" w:rsidRPr="00F92A39">
        <w:rPr>
          <w:rFonts w:ascii="Ping LCG Regular" w:hAnsi="Ping LCG Regular"/>
          <w:i/>
          <w:iCs/>
          <w:sz w:val="22"/>
          <w:szCs w:val="22"/>
          <w:lang w:val="el-GR"/>
        </w:rPr>
        <w:t>3,5</w:t>
      </w:r>
      <w:r w:rsidR="00D26D9A" w:rsidRPr="00F92A39">
        <w:rPr>
          <w:rFonts w:ascii="Ping LCG Regular" w:hAnsi="Ping LCG Regular"/>
          <w:i/>
          <w:iCs/>
          <w:sz w:val="22"/>
          <w:szCs w:val="22"/>
        </w:rPr>
        <w:t>x</w:t>
      </w:r>
      <w:r w:rsidR="00B01BC5" w:rsidRPr="00F92A39">
        <w:rPr>
          <w:lang w:val="el-GR"/>
        </w:rPr>
        <w:t xml:space="preserve"> </w:t>
      </w:r>
      <w:r w:rsidR="00B01BC5" w:rsidRPr="00190017">
        <w:rPr>
          <w:rFonts w:ascii="Ping LCG Regular" w:hAnsi="Ping LCG Regular"/>
          <w:i/>
          <w:iCs/>
          <w:sz w:val="22"/>
          <w:szCs w:val="22"/>
          <w:lang w:val="el-GR"/>
        </w:rPr>
        <w:t xml:space="preserve">που </w:t>
      </w:r>
      <w:r w:rsidR="00855274" w:rsidRPr="00F92A39">
        <w:rPr>
          <w:rFonts w:ascii="Ping LCG Regular" w:hAnsi="Ping LCG Regular"/>
          <w:i/>
          <w:iCs/>
          <w:sz w:val="22"/>
          <w:szCs w:val="22"/>
          <w:lang w:val="el-GR"/>
        </w:rPr>
        <w:t>έχ</w:t>
      </w:r>
      <w:r w:rsidR="005E6317">
        <w:rPr>
          <w:rFonts w:ascii="Ping LCG Regular" w:hAnsi="Ping LCG Regular"/>
          <w:i/>
          <w:iCs/>
          <w:sz w:val="22"/>
          <w:szCs w:val="22"/>
          <w:lang w:val="el-GR"/>
        </w:rPr>
        <w:t>ου</w:t>
      </w:r>
      <w:r w:rsidR="00F26D2C">
        <w:rPr>
          <w:rFonts w:ascii="Ping LCG Regular" w:hAnsi="Ping LCG Regular"/>
          <w:i/>
          <w:iCs/>
          <w:sz w:val="22"/>
          <w:szCs w:val="22"/>
          <w:lang w:val="el-GR"/>
        </w:rPr>
        <w:t>με θέσει</w:t>
      </w:r>
    </w:p>
    <w:p w14:paraId="5E9EEFB8" w14:textId="69241FCB" w:rsidR="00A93E8B" w:rsidRDefault="00CA60B2" w:rsidP="00C3233A">
      <w:pPr>
        <w:pStyle w:val="ListParagraph"/>
        <w:numPr>
          <w:ilvl w:val="0"/>
          <w:numId w:val="4"/>
        </w:numPr>
        <w:ind w:hanging="218"/>
        <w:jc w:val="both"/>
        <w:rPr>
          <w:rFonts w:ascii="Ping LCG Regular" w:hAnsi="Ping LCG Regular"/>
          <w:i/>
          <w:iCs/>
          <w:sz w:val="22"/>
          <w:szCs w:val="22"/>
          <w:lang w:val="el-GR"/>
        </w:rPr>
      </w:pPr>
      <w:r>
        <w:rPr>
          <w:rFonts w:ascii="Ping LCG Regular" w:hAnsi="Ping LCG Regular"/>
          <w:i/>
          <w:iCs/>
          <w:sz w:val="22"/>
          <w:szCs w:val="22"/>
          <w:lang w:val="el-GR"/>
        </w:rPr>
        <w:t>Καταγραφή σημαντικ</w:t>
      </w:r>
      <w:r w:rsidR="00D45767">
        <w:rPr>
          <w:rFonts w:ascii="Ping LCG Regular" w:hAnsi="Ping LCG Regular"/>
          <w:i/>
          <w:iCs/>
          <w:sz w:val="22"/>
          <w:szCs w:val="22"/>
          <w:lang w:val="el-GR"/>
        </w:rPr>
        <w:t>ού οφέλους</w:t>
      </w:r>
      <w:r w:rsidR="003B5C00">
        <w:rPr>
          <w:rFonts w:ascii="Ping LCG Regular" w:hAnsi="Ping LCG Regular"/>
          <w:i/>
          <w:iCs/>
          <w:sz w:val="22"/>
          <w:szCs w:val="22"/>
          <w:lang w:val="el-GR"/>
        </w:rPr>
        <w:t xml:space="preserve"> εξαγοράς</w:t>
      </w:r>
      <w:r>
        <w:rPr>
          <w:rFonts w:ascii="Ping LCG Regular" w:hAnsi="Ping LCG Regular"/>
          <w:i/>
          <w:iCs/>
          <w:sz w:val="22"/>
          <w:szCs w:val="22"/>
          <w:lang w:val="el-GR"/>
        </w:rPr>
        <w:t xml:space="preserve"> </w:t>
      </w:r>
      <w:r w:rsidR="00D01442">
        <w:rPr>
          <w:rFonts w:ascii="Ping LCG Regular" w:hAnsi="Ping LCG Regular"/>
          <w:i/>
          <w:iCs/>
          <w:sz w:val="22"/>
          <w:szCs w:val="22"/>
          <w:lang w:val="el-GR"/>
        </w:rPr>
        <w:t xml:space="preserve">πάνω </w:t>
      </w:r>
      <w:r w:rsidR="00BC0F4E">
        <w:rPr>
          <w:rFonts w:ascii="Ping LCG Regular" w:hAnsi="Ping LCG Regular"/>
          <w:i/>
          <w:iCs/>
          <w:sz w:val="22"/>
          <w:szCs w:val="22"/>
          <w:lang w:val="el-GR"/>
        </w:rPr>
        <w:t xml:space="preserve">από </w:t>
      </w:r>
      <w:r w:rsidR="00BC0F4E" w:rsidRPr="00BC0F4E">
        <w:rPr>
          <w:rFonts w:ascii="Ping LCG Regular" w:hAnsi="Ping LCG Regular"/>
          <w:i/>
          <w:iCs/>
          <w:sz w:val="22"/>
          <w:szCs w:val="22"/>
          <w:lang w:val="el-GR"/>
        </w:rPr>
        <w:t>€0</w:t>
      </w:r>
      <w:r w:rsidR="009B26D6">
        <w:rPr>
          <w:rFonts w:ascii="Ping LCG Regular" w:hAnsi="Ping LCG Regular"/>
          <w:i/>
          <w:iCs/>
          <w:sz w:val="22"/>
          <w:szCs w:val="22"/>
          <w:lang w:val="el-GR"/>
        </w:rPr>
        <w:t>,</w:t>
      </w:r>
      <w:r w:rsidR="00BC0F4E" w:rsidRPr="00BC0F4E">
        <w:rPr>
          <w:rFonts w:ascii="Ping LCG Regular" w:hAnsi="Ping LCG Regular"/>
          <w:i/>
          <w:iCs/>
          <w:sz w:val="22"/>
          <w:szCs w:val="22"/>
          <w:lang w:val="el-GR"/>
        </w:rPr>
        <w:t>2</w:t>
      </w:r>
      <w:r w:rsidR="00BC0F4E">
        <w:rPr>
          <w:rFonts w:ascii="Ping LCG Regular" w:hAnsi="Ping LCG Regular"/>
          <w:i/>
          <w:iCs/>
          <w:sz w:val="22"/>
          <w:szCs w:val="22"/>
          <w:lang w:val="el-GR"/>
        </w:rPr>
        <w:t xml:space="preserve">δισ. </w:t>
      </w:r>
      <w:r w:rsidR="00801B23">
        <w:rPr>
          <w:rFonts w:ascii="Ping LCG Regular" w:hAnsi="Ping LCG Regular"/>
          <w:i/>
          <w:iCs/>
          <w:sz w:val="22"/>
          <w:szCs w:val="22"/>
          <w:lang w:val="el-GR"/>
        </w:rPr>
        <w:t xml:space="preserve">από την </w:t>
      </w:r>
      <w:r w:rsidR="003B5C00">
        <w:rPr>
          <w:rFonts w:ascii="Ping LCG Regular" w:hAnsi="Ping LCG Regular"/>
          <w:i/>
          <w:iCs/>
          <w:sz w:val="22"/>
          <w:szCs w:val="22"/>
          <w:lang w:val="el-GR"/>
        </w:rPr>
        <w:t xml:space="preserve">απόκτηση </w:t>
      </w:r>
      <w:r w:rsidR="00801B23">
        <w:rPr>
          <w:rFonts w:ascii="Ping LCG Regular" w:hAnsi="Ping LCG Regular"/>
          <w:i/>
          <w:iCs/>
          <w:sz w:val="22"/>
          <w:szCs w:val="22"/>
          <w:lang w:val="el-GR"/>
        </w:rPr>
        <w:t xml:space="preserve">των δραστηριοτήτων της </w:t>
      </w:r>
      <w:r w:rsidR="00801B23">
        <w:rPr>
          <w:rFonts w:ascii="Ping LCG Regular" w:hAnsi="Ping LCG Regular"/>
          <w:i/>
          <w:iCs/>
          <w:sz w:val="22"/>
          <w:szCs w:val="22"/>
        </w:rPr>
        <w:t>Enel</w:t>
      </w:r>
      <w:r w:rsidR="00801B23" w:rsidRPr="00801B23">
        <w:rPr>
          <w:rFonts w:ascii="Ping LCG Regular" w:hAnsi="Ping LCG Regular"/>
          <w:i/>
          <w:iCs/>
          <w:sz w:val="22"/>
          <w:szCs w:val="22"/>
          <w:lang w:val="el-GR"/>
        </w:rPr>
        <w:t xml:space="preserve"> </w:t>
      </w:r>
      <w:r w:rsidR="00801B23">
        <w:rPr>
          <w:rFonts w:ascii="Ping LCG Regular" w:hAnsi="Ping LCG Regular"/>
          <w:i/>
          <w:iCs/>
          <w:sz w:val="22"/>
          <w:szCs w:val="22"/>
          <w:lang w:val="el-GR"/>
        </w:rPr>
        <w:t>στη</w:t>
      </w:r>
      <w:r w:rsidR="00C4453E">
        <w:rPr>
          <w:rFonts w:ascii="Ping LCG Regular" w:hAnsi="Ping LCG Regular"/>
          <w:i/>
          <w:iCs/>
          <w:sz w:val="22"/>
          <w:szCs w:val="22"/>
          <w:lang w:val="el-GR"/>
        </w:rPr>
        <w:t>ν</w:t>
      </w:r>
      <w:r w:rsidR="00801B23">
        <w:rPr>
          <w:rFonts w:ascii="Ping LCG Regular" w:hAnsi="Ping LCG Regular"/>
          <w:i/>
          <w:iCs/>
          <w:sz w:val="22"/>
          <w:szCs w:val="22"/>
          <w:lang w:val="el-GR"/>
        </w:rPr>
        <w:t xml:space="preserve"> Ρουμανία </w:t>
      </w:r>
      <w:r w:rsidR="001D1CB1">
        <w:rPr>
          <w:rFonts w:ascii="Ping LCG Regular" w:hAnsi="Ping LCG Regular"/>
          <w:i/>
          <w:iCs/>
          <w:sz w:val="22"/>
          <w:szCs w:val="22"/>
          <w:lang w:val="el-GR"/>
        </w:rPr>
        <w:t xml:space="preserve">καταδεικνύοντας </w:t>
      </w:r>
      <w:r w:rsidR="00D54F89">
        <w:rPr>
          <w:rFonts w:ascii="Ping LCG Regular" w:hAnsi="Ping LCG Regular"/>
          <w:i/>
          <w:iCs/>
          <w:sz w:val="22"/>
          <w:szCs w:val="22"/>
          <w:lang w:val="el-GR"/>
        </w:rPr>
        <w:t>την ελκυστική αποτίμηση που πέτυχε η ΔΕΗ στη συναλλαγή</w:t>
      </w:r>
    </w:p>
    <w:p w14:paraId="647BBBD2" w14:textId="44DC14AA" w:rsidR="00E522B0" w:rsidRPr="00F92A39" w:rsidRDefault="00E522B0" w:rsidP="00C3233A">
      <w:pPr>
        <w:pStyle w:val="ListParagraph"/>
        <w:numPr>
          <w:ilvl w:val="0"/>
          <w:numId w:val="4"/>
        </w:numPr>
        <w:ind w:hanging="218"/>
        <w:jc w:val="both"/>
        <w:rPr>
          <w:rFonts w:ascii="Ping LCG Regular" w:hAnsi="Ping LCG Regular"/>
          <w:i/>
          <w:iCs/>
          <w:sz w:val="22"/>
          <w:szCs w:val="22"/>
          <w:lang w:val="el-GR"/>
        </w:rPr>
      </w:pPr>
      <w:r w:rsidRPr="00F92A39">
        <w:rPr>
          <w:rFonts w:ascii="Ping LCG Regular" w:hAnsi="Ping LCG Regular"/>
          <w:i/>
          <w:iCs/>
          <w:sz w:val="22"/>
          <w:szCs w:val="22"/>
          <w:lang w:val="el-GR"/>
        </w:rPr>
        <w:t xml:space="preserve">Επαναφορά </w:t>
      </w:r>
      <w:r w:rsidR="003B5C00" w:rsidRPr="00F92A39">
        <w:rPr>
          <w:rFonts w:ascii="Ping LCG Regular" w:hAnsi="Ping LCG Regular"/>
          <w:i/>
          <w:iCs/>
          <w:sz w:val="22"/>
          <w:szCs w:val="22"/>
          <w:lang w:val="el-GR"/>
        </w:rPr>
        <w:t xml:space="preserve">μετά από 10 έτη </w:t>
      </w:r>
      <w:r w:rsidRPr="00F92A39">
        <w:rPr>
          <w:rFonts w:ascii="Ping LCG Regular" w:hAnsi="Ping LCG Regular"/>
          <w:i/>
          <w:iCs/>
          <w:sz w:val="22"/>
          <w:szCs w:val="22"/>
          <w:lang w:val="el-GR"/>
        </w:rPr>
        <w:t xml:space="preserve">της διανομής μερίσματος </w:t>
      </w:r>
      <w:r w:rsidR="001D1CB1" w:rsidRPr="00F92A39">
        <w:rPr>
          <w:rFonts w:ascii="Ping LCG Regular" w:hAnsi="Ping LCG Regular"/>
          <w:i/>
          <w:iCs/>
          <w:sz w:val="22"/>
          <w:szCs w:val="22"/>
          <w:lang w:val="el-GR"/>
        </w:rPr>
        <w:t xml:space="preserve">στα </w:t>
      </w:r>
      <w:r w:rsidR="00AC3268" w:rsidRPr="00F92A39">
        <w:rPr>
          <w:rFonts w:ascii="Ping LCG Regular" w:hAnsi="Ping LCG Regular"/>
          <w:i/>
          <w:iCs/>
          <w:sz w:val="22"/>
          <w:szCs w:val="22"/>
          <w:lang w:val="el-GR"/>
        </w:rPr>
        <w:t>€0,2</w:t>
      </w:r>
      <w:r w:rsidR="003B5C00">
        <w:rPr>
          <w:rFonts w:ascii="Ping LCG Regular" w:hAnsi="Ping LCG Regular"/>
          <w:i/>
          <w:iCs/>
          <w:sz w:val="22"/>
          <w:szCs w:val="22"/>
          <w:lang w:val="el-GR"/>
        </w:rPr>
        <w:t>5</w:t>
      </w:r>
      <w:r w:rsidR="00AC3268" w:rsidRPr="00F92A39">
        <w:rPr>
          <w:rFonts w:ascii="Ping LCG Regular" w:hAnsi="Ping LCG Regular"/>
          <w:i/>
          <w:iCs/>
          <w:sz w:val="22"/>
          <w:szCs w:val="22"/>
          <w:lang w:val="el-GR"/>
        </w:rPr>
        <w:t xml:space="preserve">/μετοχή </w:t>
      </w:r>
    </w:p>
    <w:p w14:paraId="4F4EE03B" w14:textId="052FF109" w:rsidR="009C238A" w:rsidRPr="009C238A" w:rsidRDefault="007209AD" w:rsidP="009C238A">
      <w:pPr>
        <w:pStyle w:val="ListParagraph"/>
        <w:numPr>
          <w:ilvl w:val="0"/>
          <w:numId w:val="4"/>
        </w:numPr>
        <w:ind w:hanging="218"/>
        <w:jc w:val="both"/>
        <w:rPr>
          <w:rFonts w:ascii="Ping LCG Regular" w:hAnsi="Ping LCG Regular"/>
          <w:i/>
          <w:iCs/>
          <w:sz w:val="22"/>
          <w:szCs w:val="22"/>
          <w:lang w:val="el-GR"/>
        </w:rPr>
      </w:pPr>
      <w:r w:rsidRPr="00190017">
        <w:rPr>
          <w:rFonts w:ascii="Ping LCG Regular" w:hAnsi="Ping LCG Regular"/>
          <w:i/>
          <w:iCs/>
          <w:sz w:val="22"/>
          <w:szCs w:val="22"/>
          <w:lang w:val="el-GR"/>
        </w:rPr>
        <w:t>Επιβεβαίω</w:t>
      </w:r>
      <w:r w:rsidR="00B553C8" w:rsidRPr="00190017">
        <w:rPr>
          <w:rFonts w:ascii="Ping LCG Regular" w:hAnsi="Ping LCG Regular"/>
          <w:i/>
          <w:iCs/>
          <w:sz w:val="22"/>
          <w:szCs w:val="22"/>
          <w:lang w:val="el-GR"/>
        </w:rPr>
        <w:t>ση</w:t>
      </w:r>
      <w:r w:rsidR="00B553C8" w:rsidRPr="00F92A39">
        <w:rPr>
          <w:rFonts w:ascii="Ping LCG Regular" w:hAnsi="Ping LCG Regular"/>
          <w:i/>
          <w:iCs/>
          <w:sz w:val="22"/>
          <w:szCs w:val="22"/>
          <w:lang w:val="el-GR"/>
        </w:rPr>
        <w:t xml:space="preserve"> των προοπτικών για το 2024 </w:t>
      </w:r>
      <w:r w:rsidR="005E0998" w:rsidRPr="00F92A39">
        <w:rPr>
          <w:rFonts w:ascii="Ping LCG Regular" w:hAnsi="Ping LCG Regular"/>
          <w:i/>
          <w:iCs/>
          <w:sz w:val="22"/>
          <w:szCs w:val="22"/>
          <w:lang w:val="el-GR"/>
        </w:rPr>
        <w:t xml:space="preserve">με </w:t>
      </w:r>
      <w:r w:rsidR="00C51F59" w:rsidRPr="00F92A39">
        <w:rPr>
          <w:rFonts w:ascii="Ping LCG Regular" w:hAnsi="Ping LCG Regular"/>
          <w:i/>
          <w:iCs/>
          <w:sz w:val="22"/>
          <w:szCs w:val="22"/>
          <w:lang w:val="el-GR"/>
        </w:rPr>
        <w:t xml:space="preserve">εκτίμηση για </w:t>
      </w:r>
      <w:r w:rsidR="009B26D6" w:rsidRPr="00F92A39">
        <w:rPr>
          <w:rFonts w:ascii="Ping LCG Regular" w:hAnsi="Ping LCG Regular"/>
          <w:i/>
          <w:iCs/>
          <w:sz w:val="22"/>
          <w:szCs w:val="22"/>
          <w:lang w:val="el-GR"/>
        </w:rPr>
        <w:t>επαναλαμβανόμενο</w:t>
      </w:r>
      <w:r w:rsidR="005E0998" w:rsidRPr="00F92A39">
        <w:rPr>
          <w:rFonts w:ascii="Ping LCG Regular" w:hAnsi="Ping LCG Regular"/>
          <w:i/>
          <w:iCs/>
          <w:sz w:val="22"/>
          <w:szCs w:val="22"/>
          <w:lang w:val="el-GR"/>
        </w:rPr>
        <w:t xml:space="preserve"> EBITDA</w:t>
      </w:r>
      <w:r w:rsidR="001B201D" w:rsidRPr="00F92A39">
        <w:rPr>
          <w:rFonts w:ascii="Ping LCG Regular" w:hAnsi="Ping LCG Regular"/>
          <w:i/>
          <w:iCs/>
          <w:sz w:val="22"/>
          <w:szCs w:val="22"/>
          <w:lang w:val="el-GR"/>
        </w:rPr>
        <w:t xml:space="preserve"> </w:t>
      </w:r>
      <w:r w:rsidR="005E0998" w:rsidRPr="00F92A39">
        <w:rPr>
          <w:rFonts w:ascii="Ping LCG Regular" w:hAnsi="Ping LCG Regular"/>
          <w:i/>
          <w:iCs/>
          <w:sz w:val="22"/>
          <w:szCs w:val="22"/>
          <w:lang w:val="el-GR"/>
        </w:rPr>
        <w:t>στα €1</w:t>
      </w:r>
      <w:r w:rsidR="001B201D" w:rsidRPr="00F92A39">
        <w:rPr>
          <w:rFonts w:ascii="Ping LCG Regular" w:hAnsi="Ping LCG Regular"/>
          <w:i/>
          <w:iCs/>
          <w:sz w:val="22"/>
          <w:szCs w:val="22"/>
          <w:lang w:val="el-GR"/>
        </w:rPr>
        <w:t>,</w:t>
      </w:r>
      <w:r w:rsidR="005E0998" w:rsidRPr="00F92A39">
        <w:rPr>
          <w:rFonts w:ascii="Ping LCG Regular" w:hAnsi="Ping LCG Regular"/>
          <w:i/>
          <w:iCs/>
          <w:sz w:val="22"/>
          <w:szCs w:val="22"/>
          <w:lang w:val="el-GR"/>
        </w:rPr>
        <w:t>7δισ</w:t>
      </w:r>
      <w:r w:rsidR="005E0998">
        <w:rPr>
          <w:rFonts w:ascii="Ping LCG Regular" w:hAnsi="Ping LCG Regular"/>
          <w:i/>
          <w:iCs/>
          <w:sz w:val="22"/>
          <w:szCs w:val="22"/>
          <w:lang w:val="el-GR"/>
        </w:rPr>
        <w:t xml:space="preserve">. </w:t>
      </w:r>
      <w:r w:rsidR="00016C58">
        <w:rPr>
          <w:rFonts w:ascii="Ping LCG Regular" w:hAnsi="Ping LCG Regular"/>
          <w:i/>
          <w:iCs/>
          <w:sz w:val="22"/>
          <w:szCs w:val="22"/>
          <w:lang w:val="el-GR"/>
        </w:rPr>
        <w:t xml:space="preserve"> </w:t>
      </w:r>
    </w:p>
    <w:p w14:paraId="1191D4BC" w14:textId="77777777" w:rsidR="002931ED" w:rsidRPr="00C80A6C" w:rsidRDefault="002931ED" w:rsidP="002931ED">
      <w:pPr>
        <w:jc w:val="both"/>
        <w:rPr>
          <w:rFonts w:ascii="Ping LCG Regular" w:hAnsi="Ping LCG Regular"/>
          <w:i/>
          <w:iCs/>
          <w:sz w:val="22"/>
          <w:szCs w:val="22"/>
          <w:lang w:val="el-GR"/>
        </w:rPr>
      </w:pPr>
    </w:p>
    <w:p w14:paraId="2B56CAAD" w14:textId="77777777" w:rsidR="00FC4D94" w:rsidRPr="00C80A6C" w:rsidRDefault="00FC4D94" w:rsidP="002931ED">
      <w:pPr>
        <w:jc w:val="both"/>
        <w:rPr>
          <w:rFonts w:ascii="Ping LCG Regular" w:hAnsi="Ping LCG Regular"/>
          <w:i/>
          <w:iCs/>
          <w:sz w:val="22"/>
          <w:szCs w:val="22"/>
          <w:lang w:val="el-GR"/>
        </w:rPr>
      </w:pPr>
    </w:p>
    <w:p w14:paraId="4775DF34" w14:textId="4451A02C" w:rsidR="00740370" w:rsidRPr="00B37766" w:rsidRDefault="00016C58" w:rsidP="008A5F1C">
      <w:pPr>
        <w:jc w:val="both"/>
        <w:rPr>
          <w:rFonts w:ascii="Ping LCG Regular" w:hAnsi="Ping LCG Regular"/>
          <w:b/>
          <w:bCs/>
          <w:sz w:val="22"/>
          <w:szCs w:val="22"/>
          <w:lang w:val="el-GR"/>
        </w:rPr>
      </w:pPr>
      <w:r w:rsidRPr="008E0715">
        <w:rPr>
          <w:rFonts w:ascii="Ping LCG Regular" w:hAnsi="Ping LCG Regular"/>
          <w:b/>
          <w:bCs/>
          <w:sz w:val="22"/>
          <w:szCs w:val="22"/>
          <w:lang w:val="el-GR"/>
        </w:rPr>
        <w:t>Βασικά Οικονομικά Μεγέθη</w:t>
      </w:r>
    </w:p>
    <w:p w14:paraId="20FCEAE0" w14:textId="22CB1F62" w:rsidR="001F27B0" w:rsidRDefault="001F27B0" w:rsidP="00392A97">
      <w:pPr>
        <w:pStyle w:val="DehPressRelease"/>
        <w:spacing w:after="0" w:line="240" w:lineRule="auto"/>
        <w:jc w:val="center"/>
        <w:rPr>
          <w:noProof/>
          <w:szCs w:val="22"/>
        </w:rPr>
      </w:pPr>
    </w:p>
    <w:p w14:paraId="22C36630" w14:textId="6D2E01EC" w:rsidR="000B4E8D" w:rsidRDefault="00B74CE0" w:rsidP="00392A97">
      <w:pPr>
        <w:pStyle w:val="DehPressRelease"/>
        <w:spacing w:after="0" w:line="240" w:lineRule="auto"/>
        <w:jc w:val="center"/>
        <w:rPr>
          <w:noProof/>
          <w:szCs w:val="22"/>
        </w:rPr>
      </w:pPr>
      <w:r>
        <w:rPr>
          <w:noProof/>
          <w:szCs w:val="22"/>
        </w:rPr>
        <w:drawing>
          <wp:inline distT="0" distB="0" distL="0" distR="0" wp14:anchorId="3A8FB8F9" wp14:editId="390E0727">
            <wp:extent cx="5715213" cy="2898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849" cy="2899477"/>
                    </a:xfrm>
                    <a:prstGeom prst="rect">
                      <a:avLst/>
                    </a:prstGeom>
                    <a:noFill/>
                  </pic:spPr>
                </pic:pic>
              </a:graphicData>
            </a:graphic>
          </wp:inline>
        </w:drawing>
      </w:r>
    </w:p>
    <w:p w14:paraId="225014EC" w14:textId="0D308D1C" w:rsidR="000B4E8D" w:rsidRDefault="000B4E8D" w:rsidP="00392A97">
      <w:pPr>
        <w:pStyle w:val="DehPressRelease"/>
        <w:spacing w:after="0" w:line="240" w:lineRule="auto"/>
        <w:jc w:val="center"/>
        <w:rPr>
          <w:noProof/>
          <w:szCs w:val="22"/>
        </w:rPr>
      </w:pPr>
    </w:p>
    <w:p w14:paraId="19F712DB" w14:textId="77777777" w:rsidR="006E5E39" w:rsidRPr="00C80A6C" w:rsidRDefault="006E5E39" w:rsidP="001C15E7">
      <w:pPr>
        <w:pStyle w:val="DehPressRelease"/>
        <w:jc w:val="both"/>
        <w:rPr>
          <w:b/>
          <w:bCs/>
          <w:szCs w:val="22"/>
        </w:rPr>
      </w:pPr>
      <w:r w:rsidRPr="00C80A6C">
        <w:rPr>
          <w:b/>
          <w:bCs/>
          <w:szCs w:val="22"/>
        </w:rPr>
        <w:t xml:space="preserve">Βασικά γεγονότα του 2023 </w:t>
      </w:r>
    </w:p>
    <w:p w14:paraId="449F8A6D" w14:textId="77777777" w:rsidR="00D31293" w:rsidRPr="00C80A6C" w:rsidRDefault="00D31293">
      <w:pPr>
        <w:pStyle w:val="DehPressRelease"/>
        <w:jc w:val="both"/>
        <w:rPr>
          <w:szCs w:val="22"/>
        </w:rPr>
      </w:pPr>
      <w:r w:rsidRPr="00C80A6C">
        <w:rPr>
          <w:szCs w:val="22"/>
        </w:rPr>
        <w:t xml:space="preserve">Η ΔΕΗ συνέχισε και το 2023 τη θετική πορεία των προηγούμενων ετών, επιτυγχάνοντας βασικά ορόσημα σύμφωνα με τη στρατηγική της για αξιοποίηση των ευκαιριών που προκύπτουν από την Ενεργειακή Μετάβαση. </w:t>
      </w:r>
    </w:p>
    <w:p w14:paraId="3C8D978F" w14:textId="45457099" w:rsidR="00FD4C9A" w:rsidRPr="008C094D" w:rsidRDefault="00302380" w:rsidP="001C15E7">
      <w:pPr>
        <w:pStyle w:val="DehPressRelease"/>
        <w:jc w:val="both"/>
        <w:rPr>
          <w:szCs w:val="22"/>
        </w:rPr>
      </w:pPr>
      <w:r w:rsidRPr="00EC780F">
        <w:rPr>
          <w:szCs w:val="22"/>
        </w:rPr>
        <w:t xml:space="preserve">Οι συνολικές επενδύσεις </w:t>
      </w:r>
      <w:r w:rsidRPr="00403C95">
        <w:rPr>
          <w:szCs w:val="22"/>
        </w:rPr>
        <w:t xml:space="preserve">ανήλθαν </w:t>
      </w:r>
      <w:r w:rsidRPr="00190017">
        <w:rPr>
          <w:szCs w:val="22"/>
        </w:rPr>
        <w:t xml:space="preserve"> σε €2,</w:t>
      </w:r>
      <w:r w:rsidR="00681DA5" w:rsidRPr="00190017">
        <w:rPr>
          <w:szCs w:val="22"/>
        </w:rPr>
        <w:t xml:space="preserve">6 </w:t>
      </w:r>
      <w:r w:rsidRPr="00190017">
        <w:rPr>
          <w:szCs w:val="22"/>
        </w:rPr>
        <w:t>δισ.,</w:t>
      </w:r>
      <w:r w:rsidRPr="00403C95">
        <w:rPr>
          <w:szCs w:val="22"/>
        </w:rPr>
        <w:t xml:space="preserve"> συμπεριλαμβανομένης</w:t>
      </w:r>
      <w:r w:rsidRPr="00EC780F">
        <w:rPr>
          <w:szCs w:val="22"/>
        </w:rPr>
        <w:t xml:space="preserve"> της εξαγοράς των δραστηριοτήτων της Enel στη</w:t>
      </w:r>
      <w:r w:rsidR="00674638">
        <w:rPr>
          <w:szCs w:val="22"/>
        </w:rPr>
        <w:t>ν</w:t>
      </w:r>
      <w:r w:rsidRPr="00EC780F">
        <w:rPr>
          <w:szCs w:val="22"/>
        </w:rPr>
        <w:t xml:space="preserve"> Ρουμανία, με σημαντική άνοδο να καταγράφεται στις </w:t>
      </w:r>
      <w:r w:rsidR="000F5BA2">
        <w:rPr>
          <w:szCs w:val="22"/>
        </w:rPr>
        <w:t xml:space="preserve">δραστηριότητες των </w:t>
      </w:r>
      <w:r w:rsidR="008C094D">
        <w:rPr>
          <w:szCs w:val="22"/>
        </w:rPr>
        <w:t>ΑΠΕ</w:t>
      </w:r>
      <w:r w:rsidRPr="00EC780F">
        <w:rPr>
          <w:szCs w:val="22"/>
        </w:rPr>
        <w:t xml:space="preserve"> και </w:t>
      </w:r>
      <w:r w:rsidR="000F5BA2">
        <w:rPr>
          <w:szCs w:val="22"/>
        </w:rPr>
        <w:t xml:space="preserve">της </w:t>
      </w:r>
      <w:r w:rsidR="008C094D">
        <w:rPr>
          <w:szCs w:val="22"/>
        </w:rPr>
        <w:t>Διανομή</w:t>
      </w:r>
      <w:r w:rsidR="000F5BA2">
        <w:rPr>
          <w:szCs w:val="22"/>
        </w:rPr>
        <w:t>ς</w:t>
      </w:r>
      <w:r w:rsidRPr="00EC780F">
        <w:rPr>
          <w:szCs w:val="22"/>
        </w:rPr>
        <w:t xml:space="preserve">. Η εγκατεστημένη ισχύς της ΔΕΗ </w:t>
      </w:r>
      <w:r w:rsidR="00055837">
        <w:rPr>
          <w:szCs w:val="22"/>
        </w:rPr>
        <w:t>σε</w:t>
      </w:r>
      <w:r w:rsidR="00055837" w:rsidRPr="00EC780F">
        <w:rPr>
          <w:szCs w:val="22"/>
        </w:rPr>
        <w:t xml:space="preserve"> </w:t>
      </w:r>
      <w:r w:rsidR="0040482E">
        <w:rPr>
          <w:szCs w:val="22"/>
        </w:rPr>
        <w:t>ΑΠΕ</w:t>
      </w:r>
      <w:r w:rsidRPr="00EC780F">
        <w:rPr>
          <w:szCs w:val="22"/>
        </w:rPr>
        <w:t xml:space="preserve"> </w:t>
      </w:r>
      <w:r w:rsidRPr="00F0798A">
        <w:rPr>
          <w:szCs w:val="22"/>
        </w:rPr>
        <w:t xml:space="preserve">ανήλθε σε 4,6GW στο τέλος του 2023, έχοντας </w:t>
      </w:r>
      <w:r w:rsidR="00055837" w:rsidRPr="00F0798A">
        <w:rPr>
          <w:szCs w:val="22"/>
        </w:rPr>
        <w:t>σήμερα</w:t>
      </w:r>
      <w:r w:rsidRPr="00F0798A">
        <w:rPr>
          <w:szCs w:val="22"/>
        </w:rPr>
        <w:t xml:space="preserve"> έργα συνολικ</w:t>
      </w:r>
      <w:r w:rsidR="003A33EC" w:rsidRPr="00F0798A">
        <w:rPr>
          <w:szCs w:val="22"/>
        </w:rPr>
        <w:t xml:space="preserve">ής ισχύος </w:t>
      </w:r>
      <w:r w:rsidRPr="00F0798A">
        <w:rPr>
          <w:szCs w:val="22"/>
        </w:rPr>
        <w:t xml:space="preserve">2,8GW </w:t>
      </w:r>
      <w:r w:rsidR="003A33EC" w:rsidRPr="00F0798A">
        <w:rPr>
          <w:szCs w:val="22"/>
        </w:rPr>
        <w:t xml:space="preserve">σε </w:t>
      </w:r>
      <w:r w:rsidRPr="00F0798A">
        <w:rPr>
          <w:szCs w:val="22"/>
        </w:rPr>
        <w:t xml:space="preserve">στάδιο </w:t>
      </w:r>
      <w:r w:rsidR="003A33EC" w:rsidRPr="00F0798A">
        <w:rPr>
          <w:szCs w:val="22"/>
        </w:rPr>
        <w:t>κατασκευής ή έτοιμα προς κατασκευή</w:t>
      </w:r>
      <w:r w:rsidRPr="00F0798A">
        <w:rPr>
          <w:szCs w:val="22"/>
        </w:rPr>
        <w:t xml:space="preserve">, </w:t>
      </w:r>
      <w:r w:rsidR="00FA59B7" w:rsidRPr="00F0798A">
        <w:rPr>
          <w:szCs w:val="22"/>
        </w:rPr>
        <w:t>ισχύς</w:t>
      </w:r>
      <w:r w:rsidRPr="00F0798A">
        <w:rPr>
          <w:szCs w:val="22"/>
        </w:rPr>
        <w:t xml:space="preserve"> που αντιστοιχεί περίπου </w:t>
      </w:r>
      <w:r w:rsidRPr="00AD3009">
        <w:rPr>
          <w:szCs w:val="22"/>
        </w:rPr>
        <w:t xml:space="preserve"> στο 70%</w:t>
      </w:r>
      <w:r w:rsidRPr="00F0798A">
        <w:rPr>
          <w:szCs w:val="22"/>
        </w:rPr>
        <w:t xml:space="preserve"> </w:t>
      </w:r>
      <w:r w:rsidR="00F0798A" w:rsidRPr="00F0798A">
        <w:rPr>
          <w:szCs w:val="22"/>
        </w:rPr>
        <w:t>της ισχύος που απαιτείται για την επίτευξη του στόχου για το 2026</w:t>
      </w:r>
      <w:r w:rsidRPr="00FD4C9A">
        <w:rPr>
          <w:szCs w:val="22"/>
        </w:rPr>
        <w:t xml:space="preserve">. </w:t>
      </w:r>
    </w:p>
    <w:p w14:paraId="1C4C5523" w14:textId="0D751D7C" w:rsidR="009249B6" w:rsidRPr="004D2A7F" w:rsidRDefault="009249B6">
      <w:pPr>
        <w:pStyle w:val="DehPressRelease"/>
        <w:jc w:val="both"/>
        <w:rPr>
          <w:szCs w:val="22"/>
        </w:rPr>
      </w:pPr>
      <w:r w:rsidRPr="004D2A7F">
        <w:rPr>
          <w:szCs w:val="22"/>
        </w:rPr>
        <w:t xml:space="preserve">Εκτός από την οργανική ανάπτυξη, η ΔΕΗ επιδίωξε </w:t>
      </w:r>
      <w:r w:rsidR="004D2A7F">
        <w:rPr>
          <w:szCs w:val="22"/>
        </w:rPr>
        <w:t>περαιτέρω</w:t>
      </w:r>
      <w:r w:rsidRPr="004D2A7F">
        <w:rPr>
          <w:szCs w:val="22"/>
        </w:rPr>
        <w:t xml:space="preserve"> ευκαιρίες στον τομέα των </w:t>
      </w:r>
      <w:r w:rsidR="000D07AC">
        <w:rPr>
          <w:szCs w:val="22"/>
        </w:rPr>
        <w:t>ΑΠΕ</w:t>
      </w:r>
      <w:r w:rsidRPr="004D2A7F">
        <w:rPr>
          <w:szCs w:val="22"/>
        </w:rPr>
        <w:t xml:space="preserve"> προχωρώντας σε στρατηγική συμφωνία με τον Όμιλο </w:t>
      </w:r>
      <w:proofErr w:type="spellStart"/>
      <w:r w:rsidRPr="009249B6">
        <w:rPr>
          <w:szCs w:val="22"/>
          <w:lang w:val="en-US"/>
        </w:rPr>
        <w:t>Intrakat</w:t>
      </w:r>
      <w:proofErr w:type="spellEnd"/>
      <w:r w:rsidRPr="004D2A7F">
        <w:rPr>
          <w:szCs w:val="22"/>
        </w:rPr>
        <w:t xml:space="preserve"> για την από κοινού </w:t>
      </w:r>
      <w:r w:rsidRPr="00CA6171">
        <w:rPr>
          <w:szCs w:val="22"/>
        </w:rPr>
        <w:t xml:space="preserve">ανάπτυξη χαρτοφυλακίου </w:t>
      </w:r>
      <w:r w:rsidR="000D07AC" w:rsidRPr="00CA6171">
        <w:rPr>
          <w:szCs w:val="22"/>
        </w:rPr>
        <w:t>ΑΠΕ</w:t>
      </w:r>
      <w:r w:rsidRPr="00CA6171">
        <w:rPr>
          <w:szCs w:val="22"/>
        </w:rPr>
        <w:t xml:space="preserve"> ύψους 2,7 </w:t>
      </w:r>
      <w:r w:rsidRPr="00CA6171">
        <w:rPr>
          <w:szCs w:val="22"/>
          <w:lang w:val="en-US"/>
        </w:rPr>
        <w:t>GW</w:t>
      </w:r>
      <w:r w:rsidRPr="00CA6171">
        <w:rPr>
          <w:szCs w:val="22"/>
        </w:rPr>
        <w:t xml:space="preserve">, </w:t>
      </w:r>
      <w:r w:rsidR="00CA6171" w:rsidRPr="00CA6171">
        <w:rPr>
          <w:szCs w:val="22"/>
        </w:rPr>
        <w:t xml:space="preserve">διαθέτοντας σήμερα </w:t>
      </w:r>
      <w:r w:rsidR="00CA6171" w:rsidRPr="00190017">
        <w:rPr>
          <w:szCs w:val="22"/>
        </w:rPr>
        <w:t xml:space="preserve">συνολικό </w:t>
      </w:r>
      <w:r w:rsidR="0067104B" w:rsidRPr="00190017">
        <w:rPr>
          <w:szCs w:val="22"/>
        </w:rPr>
        <w:t>χαρτοφυλάκιο έργων</w:t>
      </w:r>
      <w:r w:rsidR="0067104B" w:rsidRPr="00CA6171">
        <w:rPr>
          <w:szCs w:val="22"/>
        </w:rPr>
        <w:t xml:space="preserve"> </w:t>
      </w:r>
      <w:r w:rsidRPr="00CA6171">
        <w:rPr>
          <w:szCs w:val="22"/>
        </w:rPr>
        <w:t xml:space="preserve">περίπου 18 </w:t>
      </w:r>
      <w:r w:rsidRPr="00CA6171">
        <w:rPr>
          <w:szCs w:val="22"/>
          <w:lang w:val="en-US"/>
        </w:rPr>
        <w:t>GW</w:t>
      </w:r>
      <w:r w:rsidRPr="00CA6171">
        <w:rPr>
          <w:szCs w:val="22"/>
        </w:rPr>
        <w:t>.</w:t>
      </w:r>
      <w:r w:rsidRPr="004D2A7F">
        <w:rPr>
          <w:szCs w:val="22"/>
        </w:rPr>
        <w:t xml:space="preserve"> </w:t>
      </w:r>
    </w:p>
    <w:p w14:paraId="54AF9522" w14:textId="494752BD" w:rsidR="00E0340E" w:rsidRPr="00E0340E" w:rsidRDefault="00E0340E" w:rsidP="00FF7C4A">
      <w:pPr>
        <w:pStyle w:val="DehPressRelease"/>
        <w:jc w:val="both"/>
        <w:rPr>
          <w:szCs w:val="22"/>
          <w:highlight w:val="yellow"/>
        </w:rPr>
      </w:pPr>
      <w:r w:rsidRPr="00E0340E">
        <w:rPr>
          <w:szCs w:val="22"/>
        </w:rPr>
        <w:t>Ως αποτέλεσμα του σημαντικού μετασχηματισμού που ξεκίνησε το 2019, η ΔΕΗ προχωρά στην επαναφορά της διανομής μερίσματος ύστερα από μια δεκαετία. Το Διοικητικό Συμβούλιο θα προτείνει στην Τακτική Γενική Συνέλευση των μετόχων τη διανομή μερίσματος ύψους €0,2</w:t>
      </w:r>
      <w:r w:rsidR="00445510">
        <w:rPr>
          <w:szCs w:val="22"/>
        </w:rPr>
        <w:t>5</w:t>
      </w:r>
      <w:r w:rsidRPr="00E0340E">
        <w:rPr>
          <w:szCs w:val="22"/>
        </w:rPr>
        <w:t>/μετοχή.</w:t>
      </w:r>
    </w:p>
    <w:p w14:paraId="1034DC9C" w14:textId="4570C901" w:rsidR="008444F7" w:rsidRPr="00C775FA" w:rsidRDefault="008444F7">
      <w:pPr>
        <w:pStyle w:val="DehPressRelease"/>
        <w:jc w:val="both"/>
        <w:rPr>
          <w:szCs w:val="22"/>
        </w:rPr>
      </w:pPr>
      <w:r>
        <w:rPr>
          <w:szCs w:val="22"/>
        </w:rPr>
        <w:t xml:space="preserve">Στο πλαίσιο της δέσμευσής </w:t>
      </w:r>
      <w:r w:rsidR="00C775FA">
        <w:rPr>
          <w:szCs w:val="22"/>
        </w:rPr>
        <w:t xml:space="preserve">της </w:t>
      </w:r>
      <w:r w:rsidR="006D6547" w:rsidRPr="006D6547">
        <w:rPr>
          <w:szCs w:val="22"/>
        </w:rPr>
        <w:t xml:space="preserve">να γίνει ηγετικός παίκτης καθαρής ενέργειας και κρίσιμων υποδομών </w:t>
      </w:r>
      <w:r w:rsidR="0031737D">
        <w:rPr>
          <w:szCs w:val="22"/>
        </w:rPr>
        <w:t xml:space="preserve">και υπηρεσιών </w:t>
      </w:r>
      <w:r w:rsidR="006D6547" w:rsidRPr="006D6547">
        <w:rPr>
          <w:szCs w:val="22"/>
        </w:rPr>
        <w:t>στη Νοτιοανατολική Ευρώπη</w:t>
      </w:r>
      <w:r>
        <w:rPr>
          <w:szCs w:val="22"/>
        </w:rPr>
        <w:t xml:space="preserve">, η ΔΕΗ αύξησε </w:t>
      </w:r>
      <w:r w:rsidR="005C7E64">
        <w:rPr>
          <w:szCs w:val="22"/>
        </w:rPr>
        <w:t xml:space="preserve">κατά 32% </w:t>
      </w:r>
      <w:r>
        <w:rPr>
          <w:szCs w:val="22"/>
        </w:rPr>
        <w:t>τη</w:t>
      </w:r>
      <w:r w:rsidR="00D00D13">
        <w:rPr>
          <w:szCs w:val="22"/>
        </w:rPr>
        <w:t>ν εγκατεστημένη ισχύ ΑΠΕ</w:t>
      </w:r>
      <w:r>
        <w:rPr>
          <w:szCs w:val="22"/>
        </w:rPr>
        <w:t xml:space="preserve"> σε 4,6 GW το 2023</w:t>
      </w:r>
      <w:r w:rsidR="005C7E64">
        <w:rPr>
          <w:szCs w:val="22"/>
        </w:rPr>
        <w:t>,</w:t>
      </w:r>
      <w:r>
        <w:rPr>
          <w:szCs w:val="22"/>
        </w:rPr>
        <w:t xml:space="preserve"> ενώ παράλληλα επένδυσε </w:t>
      </w:r>
      <w:r w:rsidR="005C7E64" w:rsidRPr="008F6A53">
        <w:rPr>
          <w:szCs w:val="22"/>
        </w:rPr>
        <w:t>€</w:t>
      </w:r>
      <w:r w:rsidRPr="002D43DD">
        <w:rPr>
          <w:szCs w:val="22"/>
        </w:rPr>
        <w:t>0,8 δισ.</w:t>
      </w:r>
      <w:r w:rsidRPr="008F6A53">
        <w:rPr>
          <w:szCs w:val="22"/>
        </w:rPr>
        <w:t xml:space="preserve"> ευρώ σε</w:t>
      </w:r>
      <w:r w:rsidR="000232F3" w:rsidRPr="008F6A53">
        <w:rPr>
          <w:szCs w:val="22"/>
        </w:rPr>
        <w:t xml:space="preserve"> έργα</w:t>
      </w:r>
      <w:r w:rsidRPr="008F6A53">
        <w:rPr>
          <w:szCs w:val="22"/>
        </w:rPr>
        <w:t xml:space="preserve"> </w:t>
      </w:r>
      <w:r w:rsidR="00FE0DC0" w:rsidRPr="008F6A53">
        <w:rPr>
          <w:szCs w:val="22"/>
        </w:rPr>
        <w:t>ΑΠΕ</w:t>
      </w:r>
      <w:r w:rsidRPr="008F6A53">
        <w:rPr>
          <w:szCs w:val="22"/>
        </w:rPr>
        <w:t xml:space="preserve"> και Διανομής, σημειώνοντας </w:t>
      </w:r>
      <w:r w:rsidRPr="002D43DD">
        <w:rPr>
          <w:szCs w:val="22"/>
        </w:rPr>
        <w:t xml:space="preserve"> αύξηση 61</w:t>
      </w:r>
      <w:r w:rsidRPr="008F6A53">
        <w:rPr>
          <w:szCs w:val="22"/>
        </w:rPr>
        <w:t>% σε σύγκριση</w:t>
      </w:r>
      <w:r w:rsidRPr="0039068D">
        <w:rPr>
          <w:szCs w:val="22"/>
        </w:rPr>
        <w:t xml:space="preserve"> με το 2022</w:t>
      </w:r>
      <w:r w:rsidRPr="00BE0145">
        <w:rPr>
          <w:szCs w:val="22"/>
        </w:rPr>
        <w:t xml:space="preserve">. </w:t>
      </w:r>
      <w:r w:rsidR="00496D70" w:rsidRPr="00BE0145">
        <w:rPr>
          <w:szCs w:val="22"/>
        </w:rPr>
        <w:t>Ταυτόχρονα</w:t>
      </w:r>
      <w:r w:rsidRPr="00BE0145">
        <w:rPr>
          <w:szCs w:val="22"/>
        </w:rPr>
        <w:t>, η</w:t>
      </w:r>
      <w:r w:rsidRPr="0039068D">
        <w:rPr>
          <w:szCs w:val="22"/>
        </w:rPr>
        <w:t xml:space="preserve"> ΔΕΗ μείωσε περαιτέρω τις εκπομπές CO</w:t>
      </w:r>
      <w:r w:rsidRPr="004F2396">
        <w:rPr>
          <w:szCs w:val="22"/>
          <w:vertAlign w:val="subscript"/>
        </w:rPr>
        <w:t xml:space="preserve">2 </w:t>
      </w:r>
      <w:r w:rsidR="004F2396">
        <w:rPr>
          <w:szCs w:val="22"/>
          <w:vertAlign w:val="subscript"/>
        </w:rPr>
        <w:t xml:space="preserve"> </w:t>
      </w:r>
      <w:proofErr w:type="spellStart"/>
      <w:r w:rsidRPr="0039068D">
        <w:rPr>
          <w:szCs w:val="22"/>
        </w:rPr>
        <w:t>Scope</w:t>
      </w:r>
      <w:proofErr w:type="spellEnd"/>
      <w:r w:rsidRPr="0039068D">
        <w:rPr>
          <w:szCs w:val="22"/>
        </w:rPr>
        <w:t xml:space="preserve"> 1 κατά 34% από 14,8 εκ</w:t>
      </w:r>
      <w:r w:rsidR="003B1FAB">
        <w:rPr>
          <w:szCs w:val="22"/>
        </w:rPr>
        <w:t>ατ</w:t>
      </w:r>
      <w:r w:rsidRPr="0039068D">
        <w:rPr>
          <w:szCs w:val="22"/>
        </w:rPr>
        <w:t>. τόνους το 2022 σε 9,7 εκ</w:t>
      </w:r>
      <w:r w:rsidR="003B1FAB">
        <w:rPr>
          <w:szCs w:val="22"/>
        </w:rPr>
        <w:t>ατ</w:t>
      </w:r>
      <w:r w:rsidRPr="0039068D">
        <w:rPr>
          <w:szCs w:val="22"/>
        </w:rPr>
        <w:t xml:space="preserve">. τόνους το 2023, κάνοντας ένα ακόμη αποφασιστικό βήμα προς ένα πιο πράσινο χαρτοφυλάκιο παραγωγής. Αυτές οι προσπάθειες αντικατοπτρίζονται και στη βαθμολογία της ΔΕΗ στο CDP, η οποία αυξήθηκε σε Β- το 2023, </w:t>
      </w:r>
      <w:r w:rsidR="000661A6">
        <w:rPr>
          <w:szCs w:val="22"/>
        </w:rPr>
        <w:t>καταγράφοντας</w:t>
      </w:r>
      <w:r w:rsidRPr="0039068D">
        <w:rPr>
          <w:szCs w:val="22"/>
        </w:rPr>
        <w:t xml:space="preserve"> βελτίωση τεσσάρων βαθμίδων.</w:t>
      </w:r>
    </w:p>
    <w:p w14:paraId="44D12EA5" w14:textId="77777777" w:rsidR="00F64835" w:rsidRDefault="00F64835" w:rsidP="00E3332E">
      <w:pPr>
        <w:pStyle w:val="DehPressRelease"/>
        <w:jc w:val="both"/>
        <w:rPr>
          <w:b/>
          <w:bCs/>
          <w:szCs w:val="22"/>
        </w:rPr>
      </w:pPr>
    </w:p>
    <w:p w14:paraId="54ED60C1" w14:textId="652E85D5" w:rsidR="00A71435" w:rsidRPr="00C80A6C" w:rsidRDefault="00A71435" w:rsidP="00E3332E">
      <w:pPr>
        <w:pStyle w:val="DehPressRelease"/>
        <w:jc w:val="both"/>
        <w:rPr>
          <w:b/>
          <w:bCs/>
          <w:szCs w:val="22"/>
        </w:rPr>
      </w:pPr>
      <w:r w:rsidRPr="00C80A6C">
        <w:rPr>
          <w:b/>
          <w:bCs/>
          <w:szCs w:val="22"/>
        </w:rPr>
        <w:t xml:space="preserve">Οικονομικές επιδόσεις </w:t>
      </w:r>
    </w:p>
    <w:p w14:paraId="2B36C454" w14:textId="29705BBD" w:rsidR="005675C4" w:rsidRDefault="000E6E0A" w:rsidP="00E3332E">
      <w:pPr>
        <w:pStyle w:val="DehPressRelease"/>
        <w:jc w:val="both"/>
        <w:rPr>
          <w:szCs w:val="22"/>
        </w:rPr>
      </w:pPr>
      <w:r w:rsidRPr="00D840E5">
        <w:rPr>
          <w:b/>
          <w:bCs/>
          <w:szCs w:val="22"/>
        </w:rPr>
        <w:t xml:space="preserve">Αυξημένη λειτουργική κερδοφορία για το 2023 </w:t>
      </w:r>
      <w:r w:rsidR="002372FC" w:rsidRPr="00D840E5">
        <w:rPr>
          <w:szCs w:val="22"/>
        </w:rPr>
        <w:t>με τα κέρδη προ τόκων, φόρων και αποσβέσεων (</w:t>
      </w:r>
      <w:r w:rsidR="002372FC" w:rsidRPr="002372FC">
        <w:rPr>
          <w:szCs w:val="22"/>
          <w:lang w:val="en-US"/>
        </w:rPr>
        <w:t>EBITDA</w:t>
      </w:r>
      <w:r w:rsidR="002372FC" w:rsidRPr="00D840E5">
        <w:rPr>
          <w:szCs w:val="22"/>
        </w:rPr>
        <w:t xml:space="preserve">) σε επαναλαμβανόμενη βάση </w:t>
      </w:r>
      <w:r w:rsidR="0012452D">
        <w:rPr>
          <w:szCs w:val="22"/>
        </w:rPr>
        <w:t xml:space="preserve">να διαμορφώνονται σε </w:t>
      </w:r>
      <w:r w:rsidR="005734C9" w:rsidRPr="00D840E5">
        <w:rPr>
          <w:szCs w:val="22"/>
        </w:rPr>
        <w:t>€1</w:t>
      </w:r>
      <w:r w:rsidR="002372FC" w:rsidRPr="00D840E5">
        <w:rPr>
          <w:szCs w:val="22"/>
        </w:rPr>
        <w:t>,3</w:t>
      </w:r>
      <w:r w:rsidR="003B1FAB">
        <w:rPr>
          <w:szCs w:val="22"/>
        </w:rPr>
        <w:t xml:space="preserve"> </w:t>
      </w:r>
      <w:r w:rsidR="002372FC">
        <w:rPr>
          <w:szCs w:val="22"/>
        </w:rPr>
        <w:t>δισ</w:t>
      </w:r>
      <w:r w:rsidR="002372FC" w:rsidRPr="00D840E5">
        <w:rPr>
          <w:szCs w:val="22"/>
        </w:rPr>
        <w:t>.</w:t>
      </w:r>
      <w:r w:rsidR="0022072C" w:rsidRPr="00D840E5">
        <w:rPr>
          <w:szCs w:val="22"/>
        </w:rPr>
        <w:t xml:space="preserve">, </w:t>
      </w:r>
      <w:r w:rsidR="00F80075">
        <w:rPr>
          <w:szCs w:val="22"/>
        </w:rPr>
        <w:t>αυξημένα</w:t>
      </w:r>
      <w:r w:rsidR="00F80075" w:rsidRPr="00D840E5">
        <w:rPr>
          <w:szCs w:val="22"/>
        </w:rPr>
        <w:t xml:space="preserve"> </w:t>
      </w:r>
      <w:r w:rsidR="00F80075">
        <w:rPr>
          <w:szCs w:val="22"/>
        </w:rPr>
        <w:t>κατά</w:t>
      </w:r>
      <w:r w:rsidR="00F80075" w:rsidRPr="00D840E5">
        <w:rPr>
          <w:szCs w:val="22"/>
        </w:rPr>
        <w:t xml:space="preserve"> </w:t>
      </w:r>
      <w:r w:rsidR="0022072C" w:rsidRPr="00D840E5">
        <w:rPr>
          <w:szCs w:val="22"/>
        </w:rPr>
        <w:t>35%</w:t>
      </w:r>
      <w:r w:rsidR="008A45C3" w:rsidRPr="00D840E5">
        <w:rPr>
          <w:szCs w:val="22"/>
        </w:rPr>
        <w:t>,</w:t>
      </w:r>
      <w:r w:rsidR="0022072C" w:rsidRPr="00D840E5">
        <w:rPr>
          <w:szCs w:val="22"/>
        </w:rPr>
        <w:t xml:space="preserve"> </w:t>
      </w:r>
      <w:r w:rsidR="00D840E5" w:rsidRPr="00D840E5">
        <w:rPr>
          <w:szCs w:val="22"/>
        </w:rPr>
        <w:t xml:space="preserve">λόγω της αυξημένης συνεισφοράς των δραστηριοτήτων της </w:t>
      </w:r>
      <w:r w:rsidR="002A312A">
        <w:rPr>
          <w:szCs w:val="22"/>
        </w:rPr>
        <w:t>Διανομής</w:t>
      </w:r>
      <w:r w:rsidR="00D840E5" w:rsidRPr="00D840E5">
        <w:rPr>
          <w:szCs w:val="22"/>
        </w:rPr>
        <w:t xml:space="preserve">  και της εξαγοράς των  δραστηριοτήτων της </w:t>
      </w:r>
      <w:r w:rsidR="00D840E5" w:rsidRPr="00D840E5">
        <w:rPr>
          <w:szCs w:val="22"/>
          <w:lang w:val="en-US"/>
        </w:rPr>
        <w:t>Enel</w:t>
      </w:r>
      <w:r w:rsidR="00D840E5" w:rsidRPr="00D840E5">
        <w:rPr>
          <w:szCs w:val="22"/>
        </w:rPr>
        <w:t xml:space="preserve"> στη Ρουμανία</w:t>
      </w:r>
      <w:r w:rsidR="0022072C" w:rsidRPr="00D840E5">
        <w:rPr>
          <w:szCs w:val="22"/>
        </w:rPr>
        <w:t xml:space="preserve"> </w:t>
      </w:r>
      <w:r w:rsidR="00D840E5">
        <w:rPr>
          <w:szCs w:val="22"/>
        </w:rPr>
        <w:t xml:space="preserve">από </w:t>
      </w:r>
      <w:r w:rsidR="0022072C" w:rsidRPr="00D840E5">
        <w:rPr>
          <w:szCs w:val="22"/>
        </w:rPr>
        <w:t xml:space="preserve"> 2</w:t>
      </w:r>
      <w:r w:rsidR="00C5224D" w:rsidRPr="00D840E5">
        <w:rPr>
          <w:szCs w:val="22"/>
        </w:rPr>
        <w:t>5</w:t>
      </w:r>
      <w:r w:rsidR="0022072C" w:rsidRPr="00D840E5">
        <w:rPr>
          <w:szCs w:val="22"/>
        </w:rPr>
        <w:t xml:space="preserve">.10.2023. </w:t>
      </w:r>
      <w:r w:rsidR="00C2718A" w:rsidRPr="00157C44">
        <w:rPr>
          <w:szCs w:val="22"/>
        </w:rPr>
        <w:t xml:space="preserve">Σε </w:t>
      </w:r>
      <w:r w:rsidR="002A312A">
        <w:rPr>
          <w:szCs w:val="22"/>
        </w:rPr>
        <w:t xml:space="preserve">επίπεδο </w:t>
      </w:r>
      <w:r w:rsidR="00C2718A" w:rsidRPr="00C2718A">
        <w:rPr>
          <w:szCs w:val="22"/>
          <w:lang w:val="en-US"/>
        </w:rPr>
        <w:t>pro</w:t>
      </w:r>
      <w:r w:rsidR="00C2718A" w:rsidRPr="00157C44">
        <w:rPr>
          <w:szCs w:val="22"/>
        </w:rPr>
        <w:t xml:space="preserve"> </w:t>
      </w:r>
      <w:r w:rsidR="00C2718A" w:rsidRPr="00C2718A">
        <w:rPr>
          <w:szCs w:val="22"/>
          <w:lang w:val="en-US"/>
        </w:rPr>
        <w:t>forma</w:t>
      </w:r>
      <w:r w:rsidR="00C2718A" w:rsidRPr="00157C44">
        <w:rPr>
          <w:szCs w:val="22"/>
        </w:rPr>
        <w:t xml:space="preserve">,  δηλαδή λαμβάνοντας υπόψη τη συνεισφορά των δραστηριοτήτων στη </w:t>
      </w:r>
      <w:r w:rsidR="00C2718A" w:rsidRPr="005304E1">
        <w:rPr>
          <w:szCs w:val="22"/>
        </w:rPr>
        <w:t>Ρουμανία και για τους 12 μήνες του 2023,</w:t>
      </w:r>
      <w:r w:rsidR="0022072C" w:rsidRPr="005304E1">
        <w:rPr>
          <w:szCs w:val="22"/>
        </w:rPr>
        <w:t xml:space="preserve"> </w:t>
      </w:r>
      <w:r w:rsidR="00157C44" w:rsidRPr="005304E1">
        <w:rPr>
          <w:szCs w:val="22"/>
        </w:rPr>
        <w:t xml:space="preserve">το επαναλαμβανόμενο </w:t>
      </w:r>
      <w:r w:rsidR="0022072C" w:rsidRPr="005304E1">
        <w:rPr>
          <w:szCs w:val="22"/>
          <w:lang w:val="en-US"/>
        </w:rPr>
        <w:t>EBITDA</w:t>
      </w:r>
      <w:r w:rsidR="0022072C" w:rsidRPr="005304E1">
        <w:rPr>
          <w:szCs w:val="22"/>
        </w:rPr>
        <w:t xml:space="preserve"> </w:t>
      </w:r>
      <w:r w:rsidR="00157C44" w:rsidRPr="005304E1">
        <w:rPr>
          <w:szCs w:val="22"/>
        </w:rPr>
        <w:t xml:space="preserve">διαμορφώθηκε σε </w:t>
      </w:r>
      <w:r w:rsidR="0022072C" w:rsidRPr="005304E1">
        <w:rPr>
          <w:szCs w:val="22"/>
        </w:rPr>
        <w:t>€1</w:t>
      </w:r>
      <w:r w:rsidR="00157C44" w:rsidRPr="005304E1">
        <w:rPr>
          <w:szCs w:val="22"/>
        </w:rPr>
        <w:t>,</w:t>
      </w:r>
      <w:r w:rsidR="00F06331">
        <w:rPr>
          <w:szCs w:val="22"/>
        </w:rPr>
        <w:t>5</w:t>
      </w:r>
      <w:r w:rsidR="003B1FAB">
        <w:rPr>
          <w:szCs w:val="22"/>
        </w:rPr>
        <w:t xml:space="preserve"> </w:t>
      </w:r>
      <w:r w:rsidR="00157C44" w:rsidRPr="005304E1">
        <w:rPr>
          <w:szCs w:val="22"/>
        </w:rPr>
        <w:t>δισ</w:t>
      </w:r>
      <w:r w:rsidR="0022072C" w:rsidRPr="005304E1">
        <w:rPr>
          <w:szCs w:val="22"/>
        </w:rPr>
        <w:t>.</w:t>
      </w:r>
      <w:r w:rsidR="00EC0EE5" w:rsidRPr="005304E1">
        <w:rPr>
          <w:szCs w:val="22"/>
        </w:rPr>
        <w:t xml:space="preserve"> </w:t>
      </w:r>
      <w:r w:rsidR="00AF5938">
        <w:rPr>
          <w:szCs w:val="22"/>
        </w:rPr>
        <w:t xml:space="preserve"> </w:t>
      </w:r>
    </w:p>
    <w:p w14:paraId="6A60CD01" w14:textId="7A372525" w:rsidR="00CC5FA2" w:rsidRPr="003B271E" w:rsidRDefault="00BD6B5F" w:rsidP="00E3332E">
      <w:pPr>
        <w:pStyle w:val="DehPressRelease"/>
        <w:jc w:val="both"/>
        <w:rPr>
          <w:rFonts w:cs="Arial"/>
          <w:i/>
          <w:color w:val="FF0000"/>
          <w:spacing w:val="-14"/>
        </w:rPr>
      </w:pPr>
      <w:r>
        <w:rPr>
          <w:szCs w:val="22"/>
        </w:rPr>
        <w:t>Τα</w:t>
      </w:r>
      <w:r w:rsidRPr="003B271E">
        <w:rPr>
          <w:szCs w:val="22"/>
        </w:rPr>
        <w:t xml:space="preserve"> </w:t>
      </w:r>
      <w:r w:rsidR="00191016">
        <w:rPr>
          <w:szCs w:val="22"/>
        </w:rPr>
        <w:t>αποτελέσματα</w:t>
      </w:r>
      <w:r w:rsidR="00191016" w:rsidRPr="003B271E">
        <w:rPr>
          <w:szCs w:val="22"/>
        </w:rPr>
        <w:t xml:space="preserve"> </w:t>
      </w:r>
      <w:r w:rsidR="00191016">
        <w:rPr>
          <w:szCs w:val="22"/>
        </w:rPr>
        <w:t>του</w:t>
      </w:r>
      <w:r w:rsidR="00191016" w:rsidRPr="003B271E">
        <w:rPr>
          <w:szCs w:val="22"/>
        </w:rPr>
        <w:t xml:space="preserve"> </w:t>
      </w:r>
      <w:r w:rsidR="00B4275F" w:rsidRPr="003B271E">
        <w:rPr>
          <w:szCs w:val="22"/>
        </w:rPr>
        <w:t xml:space="preserve">2023 </w:t>
      </w:r>
      <w:r w:rsidR="00C53DC1" w:rsidRPr="00764096">
        <w:rPr>
          <w:szCs w:val="22"/>
        </w:rPr>
        <w:t>έχουν</w:t>
      </w:r>
      <w:r w:rsidR="00C53DC1" w:rsidRPr="003B271E">
        <w:rPr>
          <w:szCs w:val="22"/>
        </w:rPr>
        <w:t xml:space="preserve"> </w:t>
      </w:r>
      <w:r w:rsidR="00C53DC1" w:rsidRPr="00764096">
        <w:rPr>
          <w:szCs w:val="22"/>
        </w:rPr>
        <w:t>επηρεαστεί</w:t>
      </w:r>
      <w:r w:rsidR="00C53DC1" w:rsidRPr="003B271E">
        <w:rPr>
          <w:szCs w:val="22"/>
        </w:rPr>
        <w:t xml:space="preserve"> </w:t>
      </w:r>
      <w:r w:rsidR="00C53DC1" w:rsidRPr="00764096">
        <w:rPr>
          <w:szCs w:val="22"/>
        </w:rPr>
        <w:t>από</w:t>
      </w:r>
      <w:r w:rsidR="00C53DC1" w:rsidRPr="003B271E">
        <w:rPr>
          <w:szCs w:val="22"/>
        </w:rPr>
        <w:t xml:space="preserve"> </w:t>
      </w:r>
      <w:r w:rsidR="00C53DC1">
        <w:rPr>
          <w:szCs w:val="22"/>
        </w:rPr>
        <w:t>εφάπαξ</w:t>
      </w:r>
      <w:r w:rsidR="00C53DC1" w:rsidRPr="003B271E">
        <w:rPr>
          <w:szCs w:val="22"/>
        </w:rPr>
        <w:t xml:space="preserve"> </w:t>
      </w:r>
      <w:r w:rsidR="00C53DC1">
        <w:rPr>
          <w:szCs w:val="22"/>
        </w:rPr>
        <w:t>επιπτώσεις</w:t>
      </w:r>
      <w:r w:rsidR="00C53DC1" w:rsidRPr="003B271E">
        <w:rPr>
          <w:szCs w:val="22"/>
        </w:rPr>
        <w:t xml:space="preserve"> </w:t>
      </w:r>
      <w:r w:rsidR="00FD3AC6">
        <w:rPr>
          <w:szCs w:val="22"/>
        </w:rPr>
        <w:t xml:space="preserve">συνολικού ύψους </w:t>
      </w:r>
      <w:r w:rsidR="00FD3AC6" w:rsidRPr="003B271E">
        <w:rPr>
          <w:szCs w:val="22"/>
        </w:rPr>
        <w:t>€32</w:t>
      </w:r>
      <w:r w:rsidR="00FD3AC6">
        <w:rPr>
          <w:szCs w:val="22"/>
        </w:rPr>
        <w:t xml:space="preserve"> εκατ</w:t>
      </w:r>
      <w:r w:rsidR="00FD3AC6" w:rsidRPr="003B271E">
        <w:rPr>
          <w:szCs w:val="22"/>
        </w:rPr>
        <w:t xml:space="preserve">. </w:t>
      </w:r>
      <w:r w:rsidR="003C0D82" w:rsidRPr="00764096">
        <w:rPr>
          <w:szCs w:val="22"/>
        </w:rPr>
        <w:t>που</w:t>
      </w:r>
      <w:r w:rsidR="003C0D82" w:rsidRPr="003B271E">
        <w:rPr>
          <w:szCs w:val="22"/>
        </w:rPr>
        <w:t xml:space="preserve"> </w:t>
      </w:r>
      <w:r w:rsidR="003C0D82" w:rsidRPr="00764096">
        <w:rPr>
          <w:szCs w:val="22"/>
        </w:rPr>
        <w:t>σχετίζονται</w:t>
      </w:r>
      <w:r w:rsidR="003C0D82" w:rsidRPr="003B271E">
        <w:rPr>
          <w:szCs w:val="22"/>
        </w:rPr>
        <w:t xml:space="preserve"> </w:t>
      </w:r>
      <w:r w:rsidR="003C0D82" w:rsidRPr="00764096">
        <w:rPr>
          <w:szCs w:val="22"/>
        </w:rPr>
        <w:t>κυρίως</w:t>
      </w:r>
      <w:r w:rsidR="003C0D82" w:rsidRPr="003B271E">
        <w:rPr>
          <w:szCs w:val="22"/>
        </w:rPr>
        <w:t xml:space="preserve"> </w:t>
      </w:r>
      <w:r w:rsidR="003C0D82" w:rsidRPr="00764096">
        <w:rPr>
          <w:szCs w:val="22"/>
        </w:rPr>
        <w:t>με</w:t>
      </w:r>
      <w:r w:rsidR="003C0D82" w:rsidRPr="003B271E">
        <w:rPr>
          <w:szCs w:val="22"/>
        </w:rPr>
        <w:t xml:space="preserve"> </w:t>
      </w:r>
      <w:bookmarkStart w:id="2" w:name="_Hlk163072551"/>
      <w:r w:rsidR="00F92A39" w:rsidRPr="003B271E">
        <w:rPr>
          <w:szCs w:val="22"/>
        </w:rPr>
        <w:t>προβλέψ</w:t>
      </w:r>
      <w:r w:rsidR="00F92A39">
        <w:rPr>
          <w:szCs w:val="22"/>
        </w:rPr>
        <w:t>εις</w:t>
      </w:r>
      <w:r w:rsidR="003E59F8" w:rsidRPr="003B271E">
        <w:rPr>
          <w:szCs w:val="22"/>
        </w:rPr>
        <w:t xml:space="preserve"> για αποζημιώσεις προσωπικού </w:t>
      </w:r>
      <w:bookmarkEnd w:id="2"/>
      <w:r w:rsidR="003048AC">
        <w:rPr>
          <w:szCs w:val="22"/>
        </w:rPr>
        <w:t>ενώ</w:t>
      </w:r>
      <w:r w:rsidR="003048AC" w:rsidRPr="003B271E">
        <w:rPr>
          <w:szCs w:val="22"/>
        </w:rPr>
        <w:t xml:space="preserve"> </w:t>
      </w:r>
      <w:r w:rsidR="003B271E">
        <w:rPr>
          <w:szCs w:val="22"/>
        </w:rPr>
        <w:t>τα</w:t>
      </w:r>
      <w:r w:rsidR="003B271E" w:rsidRPr="003B271E">
        <w:rPr>
          <w:szCs w:val="22"/>
        </w:rPr>
        <w:t xml:space="preserve"> </w:t>
      </w:r>
      <w:r w:rsidR="003B271E">
        <w:rPr>
          <w:szCs w:val="22"/>
        </w:rPr>
        <w:t>αποτελέσματα του</w:t>
      </w:r>
      <w:r w:rsidR="00F61845" w:rsidRPr="003B271E">
        <w:rPr>
          <w:szCs w:val="22"/>
        </w:rPr>
        <w:t xml:space="preserve"> 2022 </w:t>
      </w:r>
      <w:r w:rsidR="00B57C15">
        <w:rPr>
          <w:szCs w:val="22"/>
        </w:rPr>
        <w:t>από εφάπαξ επιπτώσεις</w:t>
      </w:r>
      <w:r w:rsidR="00F61845" w:rsidRPr="003B271E">
        <w:rPr>
          <w:szCs w:val="22"/>
        </w:rPr>
        <w:t xml:space="preserve"> </w:t>
      </w:r>
      <w:r w:rsidR="0011253D">
        <w:rPr>
          <w:szCs w:val="22"/>
        </w:rPr>
        <w:t xml:space="preserve">συνολικού ύψους </w:t>
      </w:r>
      <w:r w:rsidR="004E6B83" w:rsidRPr="003B271E">
        <w:rPr>
          <w:szCs w:val="22"/>
        </w:rPr>
        <w:t>€</w:t>
      </w:r>
      <w:r w:rsidR="00BA5527" w:rsidRPr="003B271E">
        <w:rPr>
          <w:szCs w:val="22"/>
        </w:rPr>
        <w:t>302</w:t>
      </w:r>
      <w:r w:rsidR="003B1FAB">
        <w:rPr>
          <w:szCs w:val="22"/>
        </w:rPr>
        <w:t xml:space="preserve"> </w:t>
      </w:r>
      <w:r w:rsidR="00B57C15">
        <w:rPr>
          <w:szCs w:val="22"/>
        </w:rPr>
        <w:t>εκ</w:t>
      </w:r>
      <w:r w:rsidR="003B1FAB">
        <w:rPr>
          <w:szCs w:val="22"/>
        </w:rPr>
        <w:t>α</w:t>
      </w:r>
      <w:r w:rsidR="0011253D">
        <w:rPr>
          <w:szCs w:val="22"/>
        </w:rPr>
        <w:t>τ</w:t>
      </w:r>
      <w:r w:rsidR="00B57C15">
        <w:rPr>
          <w:szCs w:val="22"/>
        </w:rPr>
        <w:t>.</w:t>
      </w:r>
      <w:r w:rsidR="00BA5527" w:rsidRPr="003B271E">
        <w:rPr>
          <w:szCs w:val="22"/>
        </w:rPr>
        <w:t xml:space="preserve">, </w:t>
      </w:r>
      <w:r w:rsidR="00B86C3B" w:rsidRPr="00764096">
        <w:rPr>
          <w:szCs w:val="22"/>
        </w:rPr>
        <w:t>που σχετίζονται κυρίως με</w:t>
      </w:r>
      <w:r w:rsidR="0010465B">
        <w:rPr>
          <w:szCs w:val="22"/>
        </w:rPr>
        <w:t xml:space="preserve"> </w:t>
      </w:r>
      <w:r w:rsidR="00A67596" w:rsidRPr="00A67596">
        <w:rPr>
          <w:szCs w:val="22"/>
        </w:rPr>
        <w:t xml:space="preserve">το </w:t>
      </w:r>
      <w:r w:rsidR="0011253D">
        <w:rPr>
          <w:szCs w:val="22"/>
        </w:rPr>
        <w:t>την έκτακτη εισφορά</w:t>
      </w:r>
      <w:r w:rsidR="00A67596" w:rsidRPr="00A67596">
        <w:rPr>
          <w:szCs w:val="22"/>
        </w:rPr>
        <w:t xml:space="preserve"> που </w:t>
      </w:r>
      <w:r w:rsidR="00A67596" w:rsidRPr="00A67596">
        <w:rPr>
          <w:szCs w:val="22"/>
        </w:rPr>
        <w:lastRenderedPageBreak/>
        <w:t xml:space="preserve">επιβλήθηκε στους παραγωγούς ηλεκτρικής ενέργειας </w:t>
      </w:r>
      <w:r w:rsidR="00A67596">
        <w:rPr>
          <w:szCs w:val="22"/>
        </w:rPr>
        <w:t>για την περίοδο</w:t>
      </w:r>
      <w:r w:rsidR="00CC5FA2" w:rsidRPr="003B271E">
        <w:rPr>
          <w:szCs w:val="22"/>
        </w:rPr>
        <w:t xml:space="preserve"> </w:t>
      </w:r>
      <w:r w:rsidR="0011253D">
        <w:rPr>
          <w:szCs w:val="22"/>
        </w:rPr>
        <w:t>1.10</w:t>
      </w:r>
      <w:r w:rsidR="00655D02">
        <w:rPr>
          <w:szCs w:val="22"/>
        </w:rPr>
        <w:t>.</w:t>
      </w:r>
      <w:r w:rsidR="001D5804" w:rsidRPr="00E3332E">
        <w:rPr>
          <w:szCs w:val="22"/>
        </w:rPr>
        <w:t xml:space="preserve">2021 – </w:t>
      </w:r>
      <w:r w:rsidR="00655D02">
        <w:rPr>
          <w:szCs w:val="22"/>
        </w:rPr>
        <w:t>30.6.</w:t>
      </w:r>
      <w:r w:rsidR="001D5804" w:rsidRPr="00E3332E">
        <w:rPr>
          <w:szCs w:val="22"/>
        </w:rPr>
        <w:t>2022</w:t>
      </w:r>
      <w:r w:rsidR="00CC5FA2" w:rsidRPr="003B271E">
        <w:rPr>
          <w:szCs w:val="22"/>
        </w:rPr>
        <w:t xml:space="preserve"> </w:t>
      </w:r>
      <w:r w:rsidR="001D5804">
        <w:rPr>
          <w:szCs w:val="22"/>
        </w:rPr>
        <w:t>και</w:t>
      </w:r>
      <w:r w:rsidR="004E6A31" w:rsidRPr="003B271E">
        <w:rPr>
          <w:szCs w:val="22"/>
        </w:rPr>
        <w:t xml:space="preserve"> </w:t>
      </w:r>
      <w:r w:rsidR="00F92A39" w:rsidRPr="00E25FA7">
        <w:rPr>
          <w:szCs w:val="22"/>
        </w:rPr>
        <w:t>προβλέψεις</w:t>
      </w:r>
      <w:r w:rsidR="00E25FA7" w:rsidRPr="00E25FA7">
        <w:rPr>
          <w:szCs w:val="22"/>
        </w:rPr>
        <w:t xml:space="preserve"> για αποζημιώσεις προσωπικού</w:t>
      </w:r>
      <w:r w:rsidR="00702839" w:rsidRPr="00764096">
        <w:rPr>
          <w:rStyle w:val="FootnoteReference"/>
          <w:szCs w:val="22"/>
          <w:lang w:val="en-US"/>
        </w:rPr>
        <w:footnoteReference w:id="2"/>
      </w:r>
      <w:r w:rsidR="006A2E05" w:rsidRPr="003B271E">
        <w:rPr>
          <w:szCs w:val="22"/>
        </w:rPr>
        <w:t>.</w:t>
      </w:r>
      <w:r w:rsidR="006A2E05" w:rsidRPr="003B271E">
        <w:rPr>
          <w:rFonts w:cs="Arial"/>
          <w:i/>
          <w:iCs/>
          <w:spacing w:val="-14"/>
        </w:rPr>
        <w:t xml:space="preserve"> </w:t>
      </w:r>
    </w:p>
    <w:p w14:paraId="16B05EE8" w14:textId="4F9F36E9" w:rsidR="00DE43D9" w:rsidRDefault="00DE43D9">
      <w:pPr>
        <w:pStyle w:val="DehPressRelease"/>
        <w:spacing w:after="240"/>
        <w:jc w:val="both"/>
        <w:rPr>
          <w:szCs w:val="22"/>
        </w:rPr>
      </w:pPr>
      <w:r w:rsidRPr="00190017">
        <w:rPr>
          <w:b/>
          <w:bCs/>
          <w:szCs w:val="22"/>
        </w:rPr>
        <w:t xml:space="preserve">Τα κέρδη προ φόρων </w:t>
      </w:r>
      <w:r w:rsidRPr="00190017">
        <w:rPr>
          <w:szCs w:val="22"/>
        </w:rPr>
        <w:t>ανήλθαν σε €62</w:t>
      </w:r>
      <w:r w:rsidR="002E2732" w:rsidRPr="00B37766">
        <w:rPr>
          <w:szCs w:val="22"/>
        </w:rPr>
        <w:t>2</w:t>
      </w:r>
      <w:r w:rsidRPr="00190017">
        <w:rPr>
          <w:szCs w:val="22"/>
        </w:rPr>
        <w:t xml:space="preserve"> εκ</w:t>
      </w:r>
      <w:r w:rsidR="00C559E2" w:rsidRPr="00190017">
        <w:rPr>
          <w:szCs w:val="22"/>
        </w:rPr>
        <w:t>ατ</w:t>
      </w:r>
      <w:r w:rsidRPr="00190017">
        <w:rPr>
          <w:szCs w:val="22"/>
        </w:rPr>
        <w:t>. έναντι ζημιών €26 εκ</w:t>
      </w:r>
      <w:r w:rsidR="00C559E2" w:rsidRPr="00190017">
        <w:rPr>
          <w:szCs w:val="22"/>
        </w:rPr>
        <w:t>ατ</w:t>
      </w:r>
      <w:r w:rsidRPr="00190017">
        <w:rPr>
          <w:szCs w:val="22"/>
        </w:rPr>
        <w:t>. το 2022, κυρίως ως αποτέλεσμα της βελτιωμένης λειτουργικής κερδοφορίας.</w:t>
      </w:r>
      <w:r w:rsidR="00C559E2" w:rsidRPr="00190017">
        <w:rPr>
          <w:szCs w:val="22"/>
        </w:rPr>
        <w:t xml:space="preserve"> </w:t>
      </w:r>
      <w:r w:rsidRPr="00190017">
        <w:rPr>
          <w:szCs w:val="22"/>
        </w:rPr>
        <w:t xml:space="preserve">Τα αποτελέσματα προ φόρων επηρεάστηκαν επίσης θετικά από </w:t>
      </w:r>
      <w:r w:rsidR="00AF5938">
        <w:rPr>
          <w:szCs w:val="22"/>
        </w:rPr>
        <w:t xml:space="preserve">το όφελος </w:t>
      </w:r>
      <w:r w:rsidR="00780A9F">
        <w:rPr>
          <w:szCs w:val="22"/>
        </w:rPr>
        <w:t xml:space="preserve">εξαγοράς </w:t>
      </w:r>
      <w:r w:rsidRPr="00190017">
        <w:rPr>
          <w:szCs w:val="22"/>
        </w:rPr>
        <w:t>ύψους €23</w:t>
      </w:r>
      <w:r w:rsidR="00B33E1D" w:rsidRPr="00B37766">
        <w:rPr>
          <w:szCs w:val="22"/>
        </w:rPr>
        <w:t>4</w:t>
      </w:r>
      <w:r w:rsidRPr="00190017">
        <w:rPr>
          <w:szCs w:val="22"/>
        </w:rPr>
        <w:t xml:space="preserve"> εκ</w:t>
      </w:r>
      <w:r w:rsidR="00780A9F">
        <w:rPr>
          <w:szCs w:val="22"/>
        </w:rPr>
        <w:t>ατ</w:t>
      </w:r>
      <w:r w:rsidRPr="00190017">
        <w:rPr>
          <w:szCs w:val="22"/>
        </w:rPr>
        <w:t xml:space="preserve">. που καταγράφηκε από την </w:t>
      </w:r>
      <w:r w:rsidR="00780A9F">
        <w:rPr>
          <w:szCs w:val="22"/>
        </w:rPr>
        <w:t>απόκτηση</w:t>
      </w:r>
      <w:r w:rsidR="00780A9F" w:rsidRPr="00190017">
        <w:rPr>
          <w:szCs w:val="22"/>
        </w:rPr>
        <w:t xml:space="preserve"> </w:t>
      </w:r>
      <w:r w:rsidRPr="00190017">
        <w:rPr>
          <w:szCs w:val="22"/>
        </w:rPr>
        <w:t xml:space="preserve">των δραστηριοτήτων της Enel στη Ρουμανία, </w:t>
      </w:r>
      <w:r w:rsidR="00F92A39">
        <w:rPr>
          <w:szCs w:val="22"/>
        </w:rPr>
        <w:t>καταδεικνύοντας</w:t>
      </w:r>
      <w:r w:rsidR="000741FF" w:rsidRPr="00190017">
        <w:rPr>
          <w:szCs w:val="22"/>
        </w:rPr>
        <w:t xml:space="preserve"> </w:t>
      </w:r>
      <w:r w:rsidRPr="00190017">
        <w:rPr>
          <w:szCs w:val="22"/>
        </w:rPr>
        <w:t xml:space="preserve">την ελκυστική αποτίμηση που πέτυχε η ΔΕΗ στη </w:t>
      </w:r>
      <w:r w:rsidRPr="00E1193C">
        <w:rPr>
          <w:szCs w:val="22"/>
        </w:rPr>
        <w:t>συναλλαγή. Επιπλέον, στα κέρδη προ φόρων του 2023 περιλαμβάνεται το κέρδος ύψους €1</w:t>
      </w:r>
      <w:r w:rsidR="00AE39E2" w:rsidRPr="00B37766">
        <w:rPr>
          <w:szCs w:val="22"/>
        </w:rPr>
        <w:t>24</w:t>
      </w:r>
      <w:r w:rsidRPr="00E1193C">
        <w:rPr>
          <w:szCs w:val="22"/>
        </w:rPr>
        <w:t xml:space="preserve"> εκ</w:t>
      </w:r>
      <w:r w:rsidR="000741FF" w:rsidRPr="00E1193C">
        <w:rPr>
          <w:szCs w:val="22"/>
        </w:rPr>
        <w:t>ατ</w:t>
      </w:r>
      <w:r w:rsidRPr="00E1193C">
        <w:rPr>
          <w:szCs w:val="22"/>
        </w:rPr>
        <w:t>. από την</w:t>
      </w:r>
      <w:r w:rsidRPr="00190017">
        <w:rPr>
          <w:szCs w:val="22"/>
        </w:rPr>
        <w:t xml:space="preserve"> πώληση πρώην </w:t>
      </w:r>
      <w:proofErr w:type="spellStart"/>
      <w:r w:rsidRPr="00190017">
        <w:rPr>
          <w:szCs w:val="22"/>
        </w:rPr>
        <w:t>λιγνιτικών</w:t>
      </w:r>
      <w:proofErr w:type="spellEnd"/>
      <w:r w:rsidRPr="00190017">
        <w:rPr>
          <w:szCs w:val="22"/>
        </w:rPr>
        <w:t xml:space="preserve"> περιοχών στο Ελληνικό Δημόσιο, το οποίο καταγράφηκε στα αποτελέσματα του </w:t>
      </w:r>
      <w:r w:rsidR="00002BC4" w:rsidRPr="00190017">
        <w:rPr>
          <w:szCs w:val="22"/>
        </w:rPr>
        <w:t>β’</w:t>
      </w:r>
      <w:r w:rsidRPr="00190017">
        <w:rPr>
          <w:szCs w:val="22"/>
        </w:rPr>
        <w:t xml:space="preserve"> τριμήνου του 2023.  Το 2022, τα αποτελέσματα προ φόρων επηρεάστηκαν θετικά κατά €198 εκ</w:t>
      </w:r>
      <w:r w:rsidR="000741FF">
        <w:rPr>
          <w:szCs w:val="22"/>
        </w:rPr>
        <w:t>ατ</w:t>
      </w:r>
      <w:r w:rsidRPr="00190017">
        <w:rPr>
          <w:szCs w:val="22"/>
        </w:rPr>
        <w:t xml:space="preserve">., κυρίως λόγω της αντιστροφής της </w:t>
      </w:r>
      <w:proofErr w:type="spellStart"/>
      <w:r w:rsidRPr="00190017">
        <w:rPr>
          <w:szCs w:val="22"/>
        </w:rPr>
        <w:t>απομείωσης</w:t>
      </w:r>
      <w:proofErr w:type="spellEnd"/>
      <w:r w:rsidRPr="00190017">
        <w:rPr>
          <w:szCs w:val="22"/>
        </w:rPr>
        <w:t xml:space="preserve"> της επένδυσης στη νέα </w:t>
      </w:r>
      <w:proofErr w:type="spellStart"/>
      <w:r w:rsidRPr="00190017">
        <w:rPr>
          <w:szCs w:val="22"/>
        </w:rPr>
        <w:t>λιγνιτική</w:t>
      </w:r>
      <w:proofErr w:type="spellEnd"/>
      <w:r w:rsidRPr="00190017">
        <w:rPr>
          <w:szCs w:val="22"/>
        </w:rPr>
        <w:t xml:space="preserve"> μονάδα Πτολεμαΐδα V</w:t>
      </w:r>
      <w:r w:rsidR="00E84D2E">
        <w:rPr>
          <w:szCs w:val="22"/>
        </w:rPr>
        <w:t xml:space="preserve"> </w:t>
      </w:r>
      <w:r w:rsidR="00E84D2E" w:rsidRPr="008040F5">
        <w:rPr>
          <w:szCs w:val="22"/>
        </w:rPr>
        <w:t>κατά €177 εκ</w:t>
      </w:r>
      <w:r w:rsidR="00E84D2E">
        <w:rPr>
          <w:szCs w:val="22"/>
        </w:rPr>
        <w:t>ατ</w:t>
      </w:r>
      <w:r w:rsidRPr="00190017">
        <w:rPr>
          <w:szCs w:val="22"/>
        </w:rPr>
        <w:t xml:space="preserve">. </w:t>
      </w:r>
    </w:p>
    <w:p w14:paraId="0BD43CE2" w14:textId="2A0A6ABA" w:rsidR="004808B3" w:rsidRPr="004808B3" w:rsidRDefault="004808B3">
      <w:pPr>
        <w:pStyle w:val="DehPressRelease"/>
        <w:spacing w:after="240"/>
        <w:jc w:val="both"/>
        <w:rPr>
          <w:szCs w:val="22"/>
        </w:rPr>
      </w:pPr>
      <w:r w:rsidRPr="00190017">
        <w:rPr>
          <w:b/>
          <w:bCs/>
          <w:szCs w:val="22"/>
        </w:rPr>
        <w:t xml:space="preserve">Τα καθαρά </w:t>
      </w:r>
      <w:r w:rsidR="00287C63" w:rsidRPr="00190017">
        <w:rPr>
          <w:b/>
          <w:bCs/>
          <w:szCs w:val="22"/>
        </w:rPr>
        <w:t>κέρδη</w:t>
      </w:r>
      <w:r w:rsidRPr="00190017">
        <w:rPr>
          <w:szCs w:val="22"/>
        </w:rPr>
        <w:t xml:space="preserve"> ανήλθαν σε €4</w:t>
      </w:r>
      <w:r w:rsidR="002E2732" w:rsidRPr="00B37766">
        <w:rPr>
          <w:szCs w:val="22"/>
        </w:rPr>
        <w:t>85</w:t>
      </w:r>
      <w:r w:rsidRPr="00190017">
        <w:rPr>
          <w:szCs w:val="22"/>
        </w:rPr>
        <w:t xml:space="preserve"> εκ</w:t>
      </w:r>
      <w:r w:rsidR="00B57842">
        <w:rPr>
          <w:szCs w:val="22"/>
        </w:rPr>
        <w:t>ατ</w:t>
      </w:r>
      <w:r w:rsidRPr="00190017">
        <w:rPr>
          <w:szCs w:val="22"/>
        </w:rPr>
        <w:t xml:space="preserve">. </w:t>
      </w:r>
      <w:r w:rsidR="00944F68" w:rsidRPr="00190017">
        <w:rPr>
          <w:szCs w:val="22"/>
        </w:rPr>
        <w:t>έναντι ζημιών</w:t>
      </w:r>
      <w:r w:rsidRPr="00190017">
        <w:rPr>
          <w:szCs w:val="22"/>
        </w:rPr>
        <w:t xml:space="preserve"> €9 εκατ. το 2022.   </w:t>
      </w:r>
    </w:p>
    <w:p w14:paraId="15DDED92" w14:textId="60EFDF29" w:rsidR="00413A11" w:rsidRPr="00413A11" w:rsidRDefault="00413A11">
      <w:pPr>
        <w:pStyle w:val="DehPressRelease"/>
        <w:spacing w:after="240"/>
        <w:jc w:val="both"/>
        <w:rPr>
          <w:szCs w:val="22"/>
        </w:rPr>
      </w:pPr>
      <w:r>
        <w:rPr>
          <w:b/>
          <w:bCs/>
          <w:szCs w:val="22"/>
        </w:rPr>
        <w:t>Πειθαρχημένη χρηματοοικονομική θέση</w:t>
      </w:r>
      <w:r w:rsidRPr="00C12339">
        <w:rPr>
          <w:szCs w:val="22"/>
        </w:rPr>
        <w:t xml:space="preserve"> παρά τις υψηλές επενδύσεις το 2023. Η ΔΕΗ διατήρησε </w:t>
      </w:r>
      <w:r w:rsidR="00B15389">
        <w:rPr>
          <w:szCs w:val="22"/>
        </w:rPr>
        <w:t xml:space="preserve">τον δείκτη </w:t>
      </w:r>
      <w:r w:rsidRPr="00C12339">
        <w:rPr>
          <w:szCs w:val="22"/>
        </w:rPr>
        <w:t>Καθαρό χρέος/PF EBITDA</w:t>
      </w:r>
      <w:r w:rsidR="003E01F2">
        <w:rPr>
          <w:szCs w:val="22"/>
        </w:rPr>
        <w:t xml:space="preserve"> στο</w:t>
      </w:r>
      <w:r w:rsidRPr="00C12339">
        <w:rPr>
          <w:szCs w:val="22"/>
        </w:rPr>
        <w:t xml:space="preserve"> 2x, πολύ </w:t>
      </w:r>
      <w:r w:rsidR="000A629B">
        <w:rPr>
          <w:szCs w:val="22"/>
        </w:rPr>
        <w:t>χαμηλότερα</w:t>
      </w:r>
      <w:r w:rsidRPr="00C12339">
        <w:rPr>
          <w:szCs w:val="22"/>
        </w:rPr>
        <w:t xml:space="preserve"> από το όριο του 3,5x </w:t>
      </w:r>
      <w:r w:rsidR="003E01F2">
        <w:rPr>
          <w:szCs w:val="22"/>
        </w:rPr>
        <w:t xml:space="preserve">που έχει θέσει, </w:t>
      </w:r>
      <w:r w:rsidRPr="00C12339">
        <w:rPr>
          <w:szCs w:val="22"/>
        </w:rPr>
        <w:t xml:space="preserve">με τον καθαρό δανεισμό να </w:t>
      </w:r>
      <w:r w:rsidR="00A807DD">
        <w:rPr>
          <w:szCs w:val="22"/>
        </w:rPr>
        <w:t>διαμορφώνεται</w:t>
      </w:r>
      <w:r w:rsidR="00A807DD" w:rsidRPr="00C12339">
        <w:rPr>
          <w:szCs w:val="22"/>
        </w:rPr>
        <w:t xml:space="preserve"> </w:t>
      </w:r>
      <w:r w:rsidRPr="00C12339">
        <w:rPr>
          <w:szCs w:val="22"/>
        </w:rPr>
        <w:t>σε €3,2 δισ. στις 31.12.2023.</w:t>
      </w:r>
    </w:p>
    <w:p w14:paraId="010A1B48" w14:textId="749AD5CF" w:rsidR="00A8470D" w:rsidRPr="00413A11" w:rsidRDefault="00A8470D">
      <w:pPr>
        <w:rPr>
          <w:rFonts w:ascii="Ping LCG Regular" w:hAnsi="Ping LCG Regular"/>
          <w:b/>
          <w:bCs/>
          <w:sz w:val="22"/>
          <w:szCs w:val="22"/>
          <w:lang w:val="el-GR"/>
        </w:rPr>
      </w:pPr>
    </w:p>
    <w:p w14:paraId="4A5A32CB" w14:textId="506E12B0" w:rsidR="00BC725F" w:rsidRPr="009F2E90" w:rsidRDefault="009F2E90" w:rsidP="009F2E90">
      <w:pPr>
        <w:pStyle w:val="DehPressRelease"/>
        <w:jc w:val="both"/>
        <w:rPr>
          <w:b/>
          <w:bCs/>
          <w:szCs w:val="22"/>
        </w:rPr>
      </w:pPr>
      <w:r w:rsidRPr="009F2E90">
        <w:rPr>
          <w:b/>
          <w:bCs/>
          <w:szCs w:val="22"/>
        </w:rPr>
        <w:t xml:space="preserve">Σχολιάζοντας τα οικονομικά αποτελέσματα, ο Πρόεδρος και Διευθύνων Σύμβουλος </w:t>
      </w:r>
      <w:r>
        <w:rPr>
          <w:b/>
          <w:bCs/>
          <w:szCs w:val="22"/>
        </w:rPr>
        <w:t xml:space="preserve">της </w:t>
      </w:r>
      <w:r w:rsidRPr="009F2E90">
        <w:rPr>
          <w:b/>
          <w:bCs/>
          <w:szCs w:val="22"/>
        </w:rPr>
        <w:t>ΔΕΗ Α.Ε. κ. Γεώργιος Στάσσης δήλωσε:</w:t>
      </w:r>
    </w:p>
    <w:p w14:paraId="750BE364" w14:textId="04F7A960" w:rsidR="00247E06" w:rsidRDefault="00247E06" w:rsidP="00BC33F7">
      <w:pPr>
        <w:pStyle w:val="DehPressRelease"/>
        <w:jc w:val="both"/>
        <w:rPr>
          <w:i/>
          <w:iCs/>
          <w:szCs w:val="22"/>
        </w:rPr>
      </w:pPr>
      <w:r>
        <w:rPr>
          <w:i/>
          <w:iCs/>
          <w:szCs w:val="22"/>
        </w:rPr>
        <w:t xml:space="preserve">«Το 2023 ήταν άλλη μια κομβική χρονιά για τη ΔΕΗ με ισχυρά αποτελέσματα, πρόοδο στο πλάνο ανάπτυξης </w:t>
      </w:r>
      <w:r w:rsidR="00FB1378">
        <w:rPr>
          <w:i/>
          <w:iCs/>
          <w:szCs w:val="22"/>
        </w:rPr>
        <w:t xml:space="preserve">των </w:t>
      </w:r>
      <w:r>
        <w:rPr>
          <w:i/>
          <w:iCs/>
          <w:szCs w:val="22"/>
        </w:rPr>
        <w:t xml:space="preserve">ΑΠΕ, μείωση του </w:t>
      </w:r>
      <w:r w:rsidR="00FB1378">
        <w:rPr>
          <w:i/>
          <w:iCs/>
          <w:szCs w:val="22"/>
        </w:rPr>
        <w:t>ανθρακικού αποτυπώματος</w:t>
      </w:r>
      <w:r>
        <w:rPr>
          <w:i/>
          <w:iCs/>
          <w:szCs w:val="22"/>
        </w:rPr>
        <w:t xml:space="preserve"> και </w:t>
      </w:r>
      <w:r w:rsidR="00FB1378">
        <w:rPr>
          <w:i/>
          <w:iCs/>
          <w:szCs w:val="22"/>
        </w:rPr>
        <w:t xml:space="preserve">ολοκλήρωση μιας </w:t>
      </w:r>
      <w:r>
        <w:rPr>
          <w:i/>
          <w:iCs/>
          <w:szCs w:val="22"/>
        </w:rPr>
        <w:t>σημαντική</w:t>
      </w:r>
      <w:r w:rsidR="00FB1378">
        <w:rPr>
          <w:i/>
          <w:iCs/>
          <w:szCs w:val="22"/>
        </w:rPr>
        <w:t>ς</w:t>
      </w:r>
      <w:r>
        <w:rPr>
          <w:i/>
          <w:iCs/>
          <w:szCs w:val="22"/>
        </w:rPr>
        <w:t xml:space="preserve"> εξαγορά</w:t>
      </w:r>
      <w:r w:rsidR="00FB1378">
        <w:rPr>
          <w:i/>
          <w:iCs/>
          <w:szCs w:val="22"/>
        </w:rPr>
        <w:t>ς</w:t>
      </w:r>
      <w:r>
        <w:rPr>
          <w:i/>
          <w:iCs/>
          <w:szCs w:val="22"/>
        </w:rPr>
        <w:t xml:space="preserve"> που μας δίνει την ευκαιρία να γίνουμε </w:t>
      </w:r>
      <w:r w:rsidR="00F92A39" w:rsidRPr="009E6FE2">
        <w:rPr>
          <w:i/>
          <w:iCs/>
          <w:szCs w:val="22"/>
        </w:rPr>
        <w:t>ηγετικός</w:t>
      </w:r>
      <w:r w:rsidR="00F92A39" w:rsidRPr="00190017">
        <w:rPr>
          <w:i/>
          <w:iCs/>
          <w:szCs w:val="22"/>
        </w:rPr>
        <w:t xml:space="preserve"> </w:t>
      </w:r>
      <w:r w:rsidR="009E6FE2" w:rsidRPr="009E6FE2">
        <w:rPr>
          <w:i/>
          <w:iCs/>
          <w:szCs w:val="22"/>
        </w:rPr>
        <w:t xml:space="preserve">παίκτης καθαρής ενέργειας, κρίσιμων υποδομών </w:t>
      </w:r>
      <w:r w:rsidR="009E6FE2" w:rsidRPr="002B2B94">
        <w:rPr>
          <w:i/>
          <w:iCs/>
          <w:szCs w:val="22"/>
        </w:rPr>
        <w:t xml:space="preserve">και υπηρεσιών στη Νοτιοανατολική Ευρώπη. </w:t>
      </w:r>
      <w:r w:rsidR="007A3185">
        <w:rPr>
          <w:i/>
          <w:iCs/>
          <w:szCs w:val="22"/>
        </w:rPr>
        <w:t xml:space="preserve">Επαναφέρουμε την διανομή μερίσματος μετά από μια δεκαετία </w:t>
      </w:r>
      <w:r w:rsidR="001708D6">
        <w:rPr>
          <w:i/>
          <w:iCs/>
          <w:szCs w:val="22"/>
        </w:rPr>
        <w:t xml:space="preserve">ως αποτέλεσμα του μεγάλου μετασχηματισμού </w:t>
      </w:r>
      <w:r w:rsidR="006D65BD">
        <w:rPr>
          <w:i/>
          <w:iCs/>
          <w:szCs w:val="22"/>
        </w:rPr>
        <w:t xml:space="preserve">της ΔΕΗ που ξεκίνησε το 2019. </w:t>
      </w:r>
      <w:r w:rsidRPr="002B2B94">
        <w:rPr>
          <w:i/>
          <w:iCs/>
          <w:szCs w:val="22"/>
        </w:rPr>
        <w:t xml:space="preserve">Έχουμε πλέον εξασφαλίσει σχεδόν το </w:t>
      </w:r>
      <w:r w:rsidRPr="00AD3009">
        <w:rPr>
          <w:i/>
          <w:iCs/>
          <w:szCs w:val="22"/>
        </w:rPr>
        <w:t>70%</w:t>
      </w:r>
      <w:r w:rsidRPr="002B2B94">
        <w:rPr>
          <w:i/>
          <w:iCs/>
          <w:szCs w:val="22"/>
        </w:rPr>
        <w:t xml:space="preserve"> </w:t>
      </w:r>
      <w:r w:rsidR="00041E01" w:rsidRPr="002B2B94">
        <w:rPr>
          <w:i/>
          <w:iCs/>
          <w:szCs w:val="22"/>
        </w:rPr>
        <w:t xml:space="preserve">της ισχύος που απαιτείται για την επίτευξη του </w:t>
      </w:r>
      <w:r w:rsidRPr="002B2B94">
        <w:rPr>
          <w:i/>
          <w:iCs/>
          <w:szCs w:val="22"/>
        </w:rPr>
        <w:t xml:space="preserve">στόχου </w:t>
      </w:r>
      <w:r w:rsidR="00844AC5" w:rsidRPr="002B2B94">
        <w:rPr>
          <w:i/>
          <w:iCs/>
          <w:szCs w:val="22"/>
        </w:rPr>
        <w:t xml:space="preserve">που έχουμε θέσει για την ισχύ σε ΑΠΕ </w:t>
      </w:r>
      <w:r w:rsidRPr="002B2B94">
        <w:rPr>
          <w:i/>
          <w:iCs/>
          <w:szCs w:val="22"/>
        </w:rPr>
        <w:t xml:space="preserve">το 2026, μειώνοντας σημαντικά τον κίνδυνο </w:t>
      </w:r>
      <w:r w:rsidR="008C2129" w:rsidRPr="002B2B94">
        <w:rPr>
          <w:i/>
          <w:iCs/>
          <w:szCs w:val="22"/>
        </w:rPr>
        <w:t xml:space="preserve">υλοποίησης </w:t>
      </w:r>
      <w:r w:rsidRPr="002B2B94">
        <w:rPr>
          <w:i/>
          <w:iCs/>
          <w:szCs w:val="22"/>
        </w:rPr>
        <w:t xml:space="preserve">του </w:t>
      </w:r>
      <w:r w:rsidR="00DD71C7" w:rsidRPr="002B2B94">
        <w:rPr>
          <w:i/>
          <w:iCs/>
          <w:szCs w:val="22"/>
        </w:rPr>
        <w:t>πλάνου</w:t>
      </w:r>
      <w:r w:rsidRPr="002B2B94">
        <w:rPr>
          <w:i/>
          <w:iCs/>
          <w:szCs w:val="22"/>
        </w:rPr>
        <w:t xml:space="preserve"> μας. Συνεχίζουμε να αξιοποιούμε την </w:t>
      </w:r>
      <w:r w:rsidR="00B25765" w:rsidRPr="00AD3009">
        <w:rPr>
          <w:i/>
          <w:iCs/>
          <w:szCs w:val="22"/>
        </w:rPr>
        <w:t>καθετοποιημένη</w:t>
      </w:r>
      <w:r w:rsidRPr="002B2B94">
        <w:rPr>
          <w:i/>
          <w:iCs/>
          <w:szCs w:val="22"/>
        </w:rPr>
        <w:t xml:space="preserve"> θέση </w:t>
      </w:r>
      <w:r w:rsidR="002B2B94" w:rsidRPr="002B2B94">
        <w:rPr>
          <w:i/>
          <w:iCs/>
          <w:szCs w:val="22"/>
        </w:rPr>
        <w:t xml:space="preserve">μας η οποία </w:t>
      </w:r>
      <w:r w:rsidRPr="002B2B94">
        <w:rPr>
          <w:i/>
          <w:iCs/>
          <w:szCs w:val="22"/>
        </w:rPr>
        <w:t>παρέχει ανθεκτικότητα στα αποτελέσματά μας, ενώ ταυτόχρονα διασφαλίζει</w:t>
      </w:r>
      <w:r>
        <w:rPr>
          <w:i/>
          <w:iCs/>
          <w:szCs w:val="22"/>
        </w:rPr>
        <w:t xml:space="preserve"> τις </w:t>
      </w:r>
      <w:r w:rsidRPr="009D0FC6">
        <w:rPr>
          <w:i/>
          <w:iCs/>
          <w:szCs w:val="22"/>
        </w:rPr>
        <w:t xml:space="preserve">επενδύσεις μας στον τομέα των </w:t>
      </w:r>
      <w:r w:rsidR="00A412B1" w:rsidRPr="009D0FC6">
        <w:rPr>
          <w:i/>
          <w:iCs/>
          <w:szCs w:val="22"/>
        </w:rPr>
        <w:t>ΑΠΕ</w:t>
      </w:r>
      <w:r w:rsidRPr="009D0FC6">
        <w:rPr>
          <w:i/>
          <w:iCs/>
          <w:szCs w:val="22"/>
        </w:rPr>
        <w:t xml:space="preserve">. Η στρατηγική που ακολουθούμε έχει αρχίσει να αποδίδει και </w:t>
      </w:r>
      <w:r w:rsidRPr="00190017">
        <w:rPr>
          <w:i/>
          <w:iCs/>
          <w:szCs w:val="22"/>
        </w:rPr>
        <w:t>είμαστε βέβαιοι</w:t>
      </w:r>
      <w:r w:rsidR="00647D8B" w:rsidRPr="00190017">
        <w:rPr>
          <w:i/>
          <w:iCs/>
          <w:szCs w:val="22"/>
        </w:rPr>
        <w:t xml:space="preserve"> </w:t>
      </w:r>
      <w:r w:rsidRPr="009D0FC6">
        <w:rPr>
          <w:i/>
          <w:iCs/>
          <w:szCs w:val="22"/>
        </w:rPr>
        <w:t xml:space="preserve">ότι η υλοποίηση του </w:t>
      </w:r>
      <w:r w:rsidR="00647D8B" w:rsidRPr="009D0FC6">
        <w:rPr>
          <w:i/>
          <w:iCs/>
          <w:szCs w:val="22"/>
        </w:rPr>
        <w:t xml:space="preserve">πλάνου </w:t>
      </w:r>
      <w:r w:rsidRPr="009D0FC6">
        <w:rPr>
          <w:i/>
          <w:iCs/>
          <w:szCs w:val="22"/>
        </w:rPr>
        <w:t>μας θα αυξήσει περαιτέρω την αξία για τους</w:t>
      </w:r>
      <w:r>
        <w:rPr>
          <w:i/>
          <w:iCs/>
          <w:szCs w:val="22"/>
        </w:rPr>
        <w:t xml:space="preserve"> μετόχους</w:t>
      </w:r>
      <w:r w:rsidR="000F08F9">
        <w:rPr>
          <w:i/>
          <w:iCs/>
          <w:szCs w:val="22"/>
        </w:rPr>
        <w:t>, τους πελάτες</w:t>
      </w:r>
      <w:r>
        <w:rPr>
          <w:i/>
          <w:iCs/>
          <w:szCs w:val="22"/>
        </w:rPr>
        <w:t xml:space="preserve"> </w:t>
      </w:r>
      <w:r w:rsidR="000F08F9">
        <w:rPr>
          <w:i/>
          <w:iCs/>
          <w:szCs w:val="22"/>
        </w:rPr>
        <w:t>μας και την κοινωνία</w:t>
      </w:r>
      <w:r w:rsidR="00647D8B">
        <w:rPr>
          <w:i/>
          <w:iCs/>
          <w:szCs w:val="22"/>
        </w:rPr>
        <w:t>.</w:t>
      </w:r>
      <w:r>
        <w:rPr>
          <w:i/>
          <w:iCs/>
          <w:szCs w:val="22"/>
        </w:rPr>
        <w:t>»</w:t>
      </w:r>
    </w:p>
    <w:p w14:paraId="2850AF41" w14:textId="77777777" w:rsidR="000101DB" w:rsidRPr="00247E06" w:rsidRDefault="000101DB" w:rsidP="000101DB">
      <w:pPr>
        <w:pStyle w:val="DehPressRelease"/>
        <w:spacing w:after="0" w:line="240" w:lineRule="auto"/>
        <w:jc w:val="both"/>
        <w:rPr>
          <w:szCs w:val="22"/>
          <w:highlight w:val="yellow"/>
        </w:rPr>
      </w:pPr>
    </w:p>
    <w:p w14:paraId="276714B6" w14:textId="77777777" w:rsidR="00B37766" w:rsidRDefault="00B37766">
      <w:pPr>
        <w:rPr>
          <w:rFonts w:ascii="Ping LCG Regular" w:hAnsi="Ping LCG Regular"/>
          <w:b/>
          <w:bCs/>
          <w:sz w:val="22"/>
          <w:szCs w:val="22"/>
          <w:lang w:val="el-GR"/>
        </w:rPr>
      </w:pPr>
      <w:r w:rsidRPr="005E16B9">
        <w:rPr>
          <w:b/>
          <w:bCs/>
          <w:szCs w:val="22"/>
          <w:lang w:val="el-GR"/>
        </w:rPr>
        <w:br w:type="page"/>
      </w:r>
    </w:p>
    <w:p w14:paraId="6E62C92A" w14:textId="39F281B7" w:rsidR="003F5E2B" w:rsidRPr="00D22F73" w:rsidRDefault="007F2F71" w:rsidP="00E3332E">
      <w:pPr>
        <w:pStyle w:val="DehPressRelease"/>
        <w:jc w:val="both"/>
        <w:rPr>
          <w:b/>
          <w:bCs/>
          <w:szCs w:val="22"/>
        </w:rPr>
      </w:pPr>
      <w:r w:rsidRPr="00C80A6C">
        <w:rPr>
          <w:b/>
          <w:bCs/>
          <w:szCs w:val="22"/>
        </w:rPr>
        <w:lastRenderedPageBreak/>
        <w:t xml:space="preserve">Προοπτικές για το </w:t>
      </w:r>
      <w:r w:rsidRPr="00D22F73">
        <w:rPr>
          <w:b/>
          <w:bCs/>
          <w:szCs w:val="22"/>
        </w:rPr>
        <w:t>2024</w:t>
      </w:r>
      <w:r w:rsidR="003F5E2B" w:rsidRPr="00D22F73">
        <w:rPr>
          <w:b/>
          <w:bCs/>
          <w:szCs w:val="22"/>
        </w:rPr>
        <w:t xml:space="preserve"> </w:t>
      </w:r>
    </w:p>
    <w:p w14:paraId="3CA3879E" w14:textId="48E09F1F" w:rsidR="00287C63" w:rsidRDefault="00287C63" w:rsidP="00287C63">
      <w:pPr>
        <w:jc w:val="both"/>
        <w:rPr>
          <w:rFonts w:ascii="Ping LCG Regular" w:hAnsi="Ping LCG Regular"/>
          <w:sz w:val="22"/>
          <w:szCs w:val="22"/>
          <w:lang w:val="el-GR"/>
        </w:rPr>
      </w:pPr>
      <w:r w:rsidRPr="00D22F73">
        <w:rPr>
          <w:rFonts w:ascii="Ping LCG Regular" w:hAnsi="Ping LCG Regular"/>
          <w:sz w:val="22"/>
          <w:szCs w:val="22"/>
          <w:lang w:val="el-GR"/>
        </w:rPr>
        <w:t xml:space="preserve">Για το 2024, η ΔΕΗ </w:t>
      </w:r>
      <w:r w:rsidRPr="00190017">
        <w:rPr>
          <w:rFonts w:ascii="Ping LCG Regular" w:hAnsi="Ping LCG Regular"/>
          <w:sz w:val="22"/>
          <w:szCs w:val="22"/>
          <w:lang w:val="el-GR"/>
        </w:rPr>
        <w:t>επιβεβαιώνει</w:t>
      </w:r>
      <w:r w:rsidRPr="00333E23">
        <w:rPr>
          <w:rFonts w:ascii="Ping LCG Regular" w:hAnsi="Ping LCG Regular"/>
          <w:sz w:val="22"/>
          <w:szCs w:val="22"/>
          <w:lang w:val="el-GR"/>
        </w:rPr>
        <w:t xml:space="preserve"> τους </w:t>
      </w:r>
      <w:r w:rsidRPr="00297579">
        <w:rPr>
          <w:rFonts w:ascii="Ping LCG Regular" w:hAnsi="Ping LCG Regular"/>
          <w:sz w:val="22"/>
          <w:szCs w:val="22"/>
          <w:lang w:val="el-GR"/>
        </w:rPr>
        <w:t xml:space="preserve">στόχους που ανακοινώθηκαν στο Capital </w:t>
      </w:r>
      <w:proofErr w:type="spellStart"/>
      <w:r w:rsidRPr="00297579">
        <w:rPr>
          <w:rFonts w:ascii="Ping LCG Regular" w:hAnsi="Ping LCG Regular"/>
          <w:sz w:val="22"/>
          <w:szCs w:val="22"/>
          <w:lang w:val="el-GR"/>
        </w:rPr>
        <w:t>Markets</w:t>
      </w:r>
      <w:proofErr w:type="spellEnd"/>
      <w:r w:rsidRPr="00297579">
        <w:rPr>
          <w:rFonts w:ascii="Ping LCG Regular" w:hAnsi="Ping LCG Regular"/>
          <w:sz w:val="22"/>
          <w:szCs w:val="22"/>
          <w:lang w:val="el-GR"/>
        </w:rPr>
        <w:t xml:space="preserve"> </w:t>
      </w:r>
      <w:proofErr w:type="spellStart"/>
      <w:r w:rsidRPr="00297579">
        <w:rPr>
          <w:rFonts w:ascii="Ping LCG Regular" w:hAnsi="Ping LCG Regular"/>
          <w:sz w:val="22"/>
          <w:szCs w:val="22"/>
          <w:lang w:val="el-GR"/>
        </w:rPr>
        <w:t>Day</w:t>
      </w:r>
      <w:proofErr w:type="spellEnd"/>
      <w:r w:rsidRPr="00297579">
        <w:rPr>
          <w:rFonts w:ascii="Ping LCG Regular" w:hAnsi="Ping LCG Regular"/>
          <w:sz w:val="22"/>
          <w:szCs w:val="22"/>
          <w:lang w:val="el-GR"/>
        </w:rPr>
        <w:t xml:space="preserve"> τον Ιανουάριο</w:t>
      </w:r>
      <w:r w:rsidR="00D22F73" w:rsidRPr="00297579">
        <w:rPr>
          <w:rFonts w:ascii="Ping LCG Regular" w:hAnsi="Ping LCG Regular"/>
          <w:sz w:val="22"/>
          <w:szCs w:val="22"/>
          <w:lang w:val="el-GR"/>
        </w:rPr>
        <w:t xml:space="preserve"> του 2024</w:t>
      </w:r>
      <w:r w:rsidRPr="00297579">
        <w:rPr>
          <w:rFonts w:ascii="Ping LCG Regular" w:hAnsi="Ping LCG Regular"/>
          <w:sz w:val="22"/>
          <w:szCs w:val="22"/>
          <w:lang w:val="el-GR"/>
        </w:rPr>
        <w:t xml:space="preserve">, παρά τις χαμηλότερες τιμές </w:t>
      </w:r>
      <w:r w:rsidR="00D22F73" w:rsidRPr="00297579">
        <w:rPr>
          <w:rFonts w:ascii="Ping LCG Regular" w:hAnsi="Ping LCG Regular"/>
          <w:sz w:val="22"/>
          <w:szCs w:val="22"/>
          <w:lang w:val="el-GR"/>
        </w:rPr>
        <w:t>στην χονδρική αγορά,</w:t>
      </w:r>
      <w:r w:rsidRPr="00297579">
        <w:rPr>
          <w:rFonts w:ascii="Ping LCG Regular" w:hAnsi="Ping LCG Regular"/>
          <w:sz w:val="22"/>
          <w:szCs w:val="22"/>
          <w:lang w:val="el-GR"/>
        </w:rPr>
        <w:t xml:space="preserve"> δεδομένης της ανθεκτικότητας </w:t>
      </w:r>
      <w:r w:rsidRPr="00AD3009">
        <w:rPr>
          <w:rFonts w:ascii="Ping LCG Regular" w:hAnsi="Ping LCG Regular"/>
          <w:sz w:val="22"/>
          <w:szCs w:val="22"/>
          <w:lang w:val="el-GR"/>
        </w:rPr>
        <w:t>του καθετοποιημένου μοντέλου</w:t>
      </w:r>
      <w:r w:rsidR="00C7605D" w:rsidRPr="00AD3009">
        <w:rPr>
          <w:rFonts w:ascii="Ping LCG Regular" w:hAnsi="Ping LCG Regular"/>
          <w:sz w:val="22"/>
          <w:szCs w:val="22"/>
          <w:lang w:val="el-GR"/>
        </w:rPr>
        <w:t xml:space="preserve"> της</w:t>
      </w:r>
      <w:r w:rsidRPr="00297579">
        <w:rPr>
          <w:rFonts w:ascii="Ping LCG Regular" w:hAnsi="Ping LCG Regular"/>
          <w:sz w:val="22"/>
          <w:szCs w:val="22"/>
          <w:lang w:val="el-GR"/>
        </w:rPr>
        <w:t>, όπως συνέβη σε έκτακτες συνθήκες</w:t>
      </w:r>
      <w:r w:rsidR="00D351EB" w:rsidRPr="00297579">
        <w:rPr>
          <w:rFonts w:ascii="Ping LCG Regular" w:hAnsi="Ping LCG Regular"/>
          <w:sz w:val="22"/>
          <w:szCs w:val="22"/>
          <w:lang w:val="el-GR"/>
        </w:rPr>
        <w:t xml:space="preserve"> (</w:t>
      </w:r>
      <w:r w:rsidRPr="00297579">
        <w:rPr>
          <w:rFonts w:ascii="Ping LCG Regular" w:hAnsi="Ping LCG Regular"/>
          <w:sz w:val="22"/>
          <w:szCs w:val="22"/>
        </w:rPr>
        <w:t>covid</w:t>
      </w:r>
      <w:r w:rsidR="00D351EB" w:rsidRPr="00297579">
        <w:rPr>
          <w:rFonts w:ascii="Ping LCG Regular" w:hAnsi="Ping LCG Regular"/>
          <w:sz w:val="22"/>
          <w:szCs w:val="22"/>
          <w:lang w:val="el-GR"/>
        </w:rPr>
        <w:t xml:space="preserve">, </w:t>
      </w:r>
      <w:r w:rsidRPr="00297579">
        <w:rPr>
          <w:rFonts w:ascii="Ping LCG Regular" w:hAnsi="Ping LCG Regular"/>
          <w:sz w:val="22"/>
          <w:szCs w:val="22"/>
          <w:lang w:val="el-GR"/>
        </w:rPr>
        <w:t>ενεργειακή κρίση</w:t>
      </w:r>
      <w:r w:rsidR="00D351EB" w:rsidRPr="00297579">
        <w:rPr>
          <w:rFonts w:ascii="Ping LCG Regular" w:hAnsi="Ping LCG Regular"/>
          <w:sz w:val="22"/>
          <w:szCs w:val="22"/>
          <w:lang w:val="el-GR"/>
        </w:rPr>
        <w:t>)</w:t>
      </w:r>
      <w:r w:rsidRPr="00297579">
        <w:rPr>
          <w:rFonts w:ascii="Ping LCG Regular" w:hAnsi="Ping LCG Regular"/>
          <w:sz w:val="22"/>
          <w:szCs w:val="22"/>
          <w:lang w:val="el-GR"/>
        </w:rPr>
        <w:t xml:space="preserve">. Συγκεκριμένα, η ΔΕΗ αναμένει επαναλαμβανόμενο </w:t>
      </w:r>
      <w:r w:rsidRPr="00297579">
        <w:rPr>
          <w:rFonts w:ascii="Ping LCG Regular" w:hAnsi="Ping LCG Regular"/>
          <w:sz w:val="22"/>
          <w:szCs w:val="22"/>
        </w:rPr>
        <w:t>EBITDA</w:t>
      </w:r>
      <w:r w:rsidRPr="00297579">
        <w:rPr>
          <w:rFonts w:ascii="Ping LCG Regular" w:hAnsi="Ping LCG Regular"/>
          <w:sz w:val="22"/>
          <w:szCs w:val="22"/>
          <w:lang w:val="el-GR"/>
        </w:rPr>
        <w:t xml:space="preserve"> ύψους €1,7 δισ. </w:t>
      </w:r>
      <w:r w:rsidR="00DC6EBF">
        <w:rPr>
          <w:rFonts w:ascii="Ping LCG Regular" w:hAnsi="Ping LCG Regular"/>
          <w:sz w:val="22"/>
          <w:szCs w:val="22"/>
          <w:lang w:val="el-GR"/>
        </w:rPr>
        <w:t xml:space="preserve"> </w:t>
      </w:r>
    </w:p>
    <w:p w14:paraId="574DBFAF" w14:textId="628BAA7C" w:rsidR="00561089" w:rsidRDefault="00561089" w:rsidP="00C73862">
      <w:pPr>
        <w:jc w:val="both"/>
        <w:rPr>
          <w:rFonts w:ascii="Ping LCG Regular" w:hAnsi="Ping LCG Regular"/>
          <w:sz w:val="22"/>
          <w:szCs w:val="22"/>
          <w:lang w:val="el-GR"/>
        </w:rPr>
      </w:pPr>
    </w:p>
    <w:p w14:paraId="64AEFA94" w14:textId="77777777" w:rsidR="00D8766B" w:rsidRPr="00C73862" w:rsidRDefault="00D8766B" w:rsidP="00C73862">
      <w:pPr>
        <w:jc w:val="both"/>
        <w:rPr>
          <w:rFonts w:ascii="Ping LCG Regular" w:hAnsi="Ping LCG Regular"/>
          <w:sz w:val="22"/>
          <w:szCs w:val="22"/>
          <w:lang w:val="el-GR"/>
        </w:rPr>
      </w:pPr>
    </w:p>
    <w:p w14:paraId="132D633A" w14:textId="64FE57B1" w:rsidR="00B038DD" w:rsidRPr="00C80A6C" w:rsidRDefault="00740098" w:rsidP="00B038DD">
      <w:pPr>
        <w:pStyle w:val="DehPressRelease"/>
        <w:rPr>
          <w:b/>
          <w:bCs/>
          <w:szCs w:val="22"/>
        </w:rPr>
      </w:pPr>
      <w:r w:rsidRPr="00C80A6C">
        <w:rPr>
          <w:b/>
          <w:bCs/>
          <w:szCs w:val="22"/>
        </w:rPr>
        <w:t>Δραστηριότητα Εμπορίας</w:t>
      </w:r>
      <w:r w:rsidR="000873B5" w:rsidRPr="00C80A6C">
        <w:rPr>
          <w:b/>
          <w:bCs/>
          <w:szCs w:val="22"/>
        </w:rPr>
        <w:t xml:space="preserve"> </w:t>
      </w:r>
    </w:p>
    <w:p w14:paraId="710F8D59" w14:textId="6C454AB7" w:rsidR="00F17D97" w:rsidRDefault="009006F9" w:rsidP="002D43DD">
      <w:pPr>
        <w:pStyle w:val="DehPressRelease"/>
        <w:spacing w:after="0"/>
        <w:jc w:val="both"/>
        <w:rPr>
          <w:szCs w:val="22"/>
        </w:rPr>
      </w:pPr>
      <w:r>
        <w:rPr>
          <w:szCs w:val="22"/>
        </w:rPr>
        <w:t xml:space="preserve">Η ζήτηση ηλεκτρικής ενέργειας στην Ελλάδα </w:t>
      </w:r>
      <w:r w:rsidR="004444B0">
        <w:rPr>
          <w:szCs w:val="22"/>
        </w:rPr>
        <w:t>αυξήθηκε</w:t>
      </w:r>
      <w:r w:rsidR="00060702">
        <w:rPr>
          <w:szCs w:val="22"/>
        </w:rPr>
        <w:t xml:space="preserve"> </w:t>
      </w:r>
      <w:r w:rsidR="004479EE">
        <w:rPr>
          <w:szCs w:val="22"/>
        </w:rPr>
        <w:t xml:space="preserve">το </w:t>
      </w:r>
      <w:r w:rsidR="00AD7435" w:rsidRPr="00AD7435">
        <w:rPr>
          <w:szCs w:val="22"/>
        </w:rPr>
        <w:t>δ’ τρίμηνο του 2023</w:t>
      </w:r>
      <w:r w:rsidR="004444B0">
        <w:rPr>
          <w:szCs w:val="22"/>
        </w:rPr>
        <w:t xml:space="preserve"> κατά 1,5%</w:t>
      </w:r>
      <w:r w:rsidR="00F762F2">
        <w:rPr>
          <w:szCs w:val="22"/>
        </w:rPr>
        <w:t xml:space="preserve"> σε σχέση με την αντίστοιχη περίοδο</w:t>
      </w:r>
      <w:r w:rsidR="004C45B1">
        <w:rPr>
          <w:szCs w:val="22"/>
        </w:rPr>
        <w:t xml:space="preserve"> του 2022,</w:t>
      </w:r>
      <w:r w:rsidR="005E6C6B">
        <w:rPr>
          <w:szCs w:val="22"/>
        </w:rPr>
        <w:t xml:space="preserve"> με αποτέλεσμα η μείωση της ζήτησης να περιοριστεί</w:t>
      </w:r>
      <w:r w:rsidR="00CC43D4">
        <w:rPr>
          <w:szCs w:val="22"/>
        </w:rPr>
        <w:t xml:space="preserve"> σε 1,7% για το σύνολο του </w:t>
      </w:r>
      <w:r w:rsidR="004C45B1">
        <w:rPr>
          <w:szCs w:val="22"/>
        </w:rPr>
        <w:t>2023</w:t>
      </w:r>
      <w:r w:rsidR="00F477EC">
        <w:rPr>
          <w:szCs w:val="22"/>
        </w:rPr>
        <w:t>.</w:t>
      </w:r>
      <w:r w:rsidR="00F17D97" w:rsidRPr="009B422E">
        <w:rPr>
          <w:szCs w:val="22"/>
        </w:rPr>
        <w:t xml:space="preserve"> </w:t>
      </w:r>
      <w:r w:rsidR="00B552F9" w:rsidRPr="007D0066">
        <w:rPr>
          <w:szCs w:val="22"/>
        </w:rPr>
        <w:t>Στη</w:t>
      </w:r>
      <w:r w:rsidR="00031289">
        <w:rPr>
          <w:szCs w:val="22"/>
        </w:rPr>
        <w:t>ν</w:t>
      </w:r>
      <w:r w:rsidR="00B552F9" w:rsidRPr="007D0066">
        <w:rPr>
          <w:szCs w:val="22"/>
        </w:rPr>
        <w:t xml:space="preserve"> Ρουμανία, η ζήτηση ηλεκτρικής ενέργειας μειώθηκε κατά 5% το 2023</w:t>
      </w:r>
      <w:r w:rsidR="00F17D97" w:rsidRPr="00A554B2">
        <w:rPr>
          <w:rStyle w:val="FootnoteReference"/>
          <w:szCs w:val="22"/>
        </w:rPr>
        <w:footnoteReference w:id="3"/>
      </w:r>
      <w:r w:rsidR="00F17D97" w:rsidRPr="006004D2">
        <w:rPr>
          <w:szCs w:val="22"/>
        </w:rPr>
        <w:t>.</w:t>
      </w:r>
      <w:r w:rsidR="0050032B" w:rsidRPr="00190017">
        <w:rPr>
          <w:szCs w:val="22"/>
        </w:rPr>
        <w:t xml:space="preserve"> </w:t>
      </w:r>
    </w:p>
    <w:p w14:paraId="26BA633B" w14:textId="77777777" w:rsidR="00A62EE1" w:rsidRPr="003726BB" w:rsidRDefault="00A62EE1" w:rsidP="002D43DD">
      <w:pPr>
        <w:pStyle w:val="DehPressRelease"/>
        <w:spacing w:after="0"/>
        <w:jc w:val="both"/>
        <w:rPr>
          <w:szCs w:val="22"/>
        </w:rPr>
      </w:pPr>
    </w:p>
    <w:p w14:paraId="3D9BA589" w14:textId="74C55CE6" w:rsidR="00B038DD" w:rsidRPr="005D1D80" w:rsidRDefault="007D0066" w:rsidP="007E0F40">
      <w:pPr>
        <w:pStyle w:val="DehPressRelease"/>
        <w:spacing w:after="240"/>
        <w:jc w:val="both"/>
        <w:rPr>
          <w:szCs w:val="22"/>
        </w:rPr>
      </w:pPr>
      <w:r w:rsidRPr="007D0066">
        <w:rPr>
          <w:szCs w:val="22"/>
        </w:rPr>
        <w:t>Το μέσο μερίδιο της ΔΕΗ στην αγορά προμήθειας στην Ελλάδα μειώθηκε σε 56,5% το 2023 από 62,4% το 2022. Στο Διασυνδεδεμένο Σύστημα, το αντίστοιχο μέγεθος μειώθηκε σε 56,1% τον Δεκέμβριο 2023 (από 63,3% τον Δεκέμβριο 2022), ενώ το μέσο μερίδιο ανά τάση, ήταν 48,0% (από 88,3%) στην Υψηλή Τάση, 40,7% (από 44,2%) στη Μέση Τάση και 63,2% (από 63,7%) στη Χαμηλή Τάση</w:t>
      </w:r>
      <w:r w:rsidR="007A7876" w:rsidRPr="00F268E3">
        <w:rPr>
          <w:szCs w:val="22"/>
          <w:vertAlign w:val="superscript"/>
        </w:rPr>
        <w:footnoteReference w:id="4"/>
      </w:r>
      <w:r w:rsidR="00B038DD" w:rsidRPr="007D0066">
        <w:rPr>
          <w:szCs w:val="22"/>
        </w:rPr>
        <w:t>.</w:t>
      </w:r>
      <w:r w:rsidR="00915CBC" w:rsidRPr="007D0066">
        <w:rPr>
          <w:szCs w:val="22"/>
        </w:rPr>
        <w:t xml:space="preserve"> </w:t>
      </w:r>
      <w:r w:rsidR="005D1D80" w:rsidRPr="005D1D80">
        <w:rPr>
          <w:szCs w:val="22"/>
        </w:rPr>
        <w:t>Στη Ρουμανία, το  μέσο μερίδιο της ΔΕΗ στις πωλήσεις ηλεκτρικής ενέργειας διαμορφώθηκε σε 18%</w:t>
      </w:r>
      <w:r w:rsidR="00C43530" w:rsidRPr="00F268E3">
        <w:rPr>
          <w:rStyle w:val="FootnoteReference"/>
          <w:szCs w:val="22"/>
        </w:rPr>
        <w:footnoteReference w:id="5"/>
      </w:r>
      <w:r w:rsidR="00915CBC" w:rsidRPr="005D1D80">
        <w:rPr>
          <w:szCs w:val="22"/>
        </w:rPr>
        <w:t>.</w:t>
      </w:r>
    </w:p>
    <w:p w14:paraId="48E0DD1F" w14:textId="77777777" w:rsidR="00100561" w:rsidRPr="00B37766" w:rsidRDefault="00100561" w:rsidP="00B37766">
      <w:pPr>
        <w:jc w:val="both"/>
        <w:rPr>
          <w:szCs w:val="22"/>
          <w:lang w:val="el-GR"/>
        </w:rPr>
      </w:pPr>
    </w:p>
    <w:p w14:paraId="73878908" w14:textId="269E7700" w:rsidR="009249CA" w:rsidRPr="00B75205" w:rsidRDefault="00B94879" w:rsidP="00DE014F">
      <w:pPr>
        <w:pStyle w:val="DehPressRelease"/>
        <w:spacing w:line="240" w:lineRule="auto"/>
        <w:jc w:val="both"/>
        <w:rPr>
          <w:b/>
          <w:bCs/>
          <w:szCs w:val="22"/>
        </w:rPr>
      </w:pPr>
      <w:r w:rsidRPr="00C80A6C">
        <w:rPr>
          <w:b/>
          <w:bCs/>
          <w:szCs w:val="22"/>
        </w:rPr>
        <w:t>Δραστηριότητα Παραγωγής</w:t>
      </w:r>
    </w:p>
    <w:p w14:paraId="63BE78FF" w14:textId="21B1B97C" w:rsidR="00261171" w:rsidRPr="00261171" w:rsidRDefault="00261171" w:rsidP="00261171">
      <w:pPr>
        <w:pStyle w:val="DehPressRelease"/>
        <w:jc w:val="both"/>
        <w:rPr>
          <w:szCs w:val="22"/>
        </w:rPr>
      </w:pPr>
      <w:r w:rsidRPr="00261171">
        <w:rPr>
          <w:szCs w:val="22"/>
        </w:rPr>
        <w:t xml:space="preserve">Στην παραγωγή ηλεκτρικής ενέργειας, το μέσο μερίδιο της ΔΕΗ στην Ελλάδα μειώθηκε σε 39,1% το 2023 από 43,4% το 2022, κυρίως λόγω της χαμηλότερης παραγωγής από μονάδες φυσικού αερίου, αλλά και από τις </w:t>
      </w:r>
      <w:proofErr w:type="spellStart"/>
      <w:r w:rsidRPr="00261171">
        <w:rPr>
          <w:szCs w:val="22"/>
        </w:rPr>
        <w:t>λιγνιτικές</w:t>
      </w:r>
      <w:proofErr w:type="spellEnd"/>
      <w:r w:rsidRPr="00261171">
        <w:rPr>
          <w:szCs w:val="22"/>
        </w:rPr>
        <w:t xml:space="preserve"> μονάδες λόγω της σταδιακής εξόδου της ΔΕΗ από το λιγνίτη. Στη Ρουμανία, το μέσο μερίδιο της ΔΕΗ στην παραγωγή από ΑΠΕ (αιολικά/ηλιακά) </w:t>
      </w:r>
      <w:r w:rsidR="003726BB">
        <w:rPr>
          <w:szCs w:val="22"/>
        </w:rPr>
        <w:t>διαμορφώθηκε</w:t>
      </w:r>
      <w:r w:rsidR="003726BB" w:rsidRPr="00261171">
        <w:rPr>
          <w:szCs w:val="22"/>
        </w:rPr>
        <w:t xml:space="preserve"> </w:t>
      </w:r>
      <w:r w:rsidRPr="00261171">
        <w:rPr>
          <w:szCs w:val="22"/>
        </w:rPr>
        <w:t>σε 14,1% παραμένοντας περίπου στα ίδια επίπεδα σε σχέση με το 2022 (13,5%).</w:t>
      </w:r>
    </w:p>
    <w:p w14:paraId="6C7ACC87" w14:textId="3A259234" w:rsidR="00005E9F" w:rsidRDefault="00261171" w:rsidP="00261171">
      <w:pPr>
        <w:pStyle w:val="DehPressRelease"/>
        <w:jc w:val="both"/>
        <w:rPr>
          <w:szCs w:val="22"/>
        </w:rPr>
      </w:pPr>
      <w:r w:rsidRPr="00261171">
        <w:rPr>
          <w:szCs w:val="22"/>
        </w:rPr>
        <w:t xml:space="preserve">Η μετάβαση σε πιο καθαρές μορφές ενέργειας συνεχίστηκε με μείωση της εγκατεστημένης ισχύος των </w:t>
      </w:r>
      <w:proofErr w:type="spellStart"/>
      <w:r w:rsidRPr="00261171">
        <w:rPr>
          <w:szCs w:val="22"/>
        </w:rPr>
        <w:t>λιγν</w:t>
      </w:r>
      <w:r w:rsidR="00F92A39">
        <w:rPr>
          <w:szCs w:val="22"/>
        </w:rPr>
        <w:t>ι</w:t>
      </w:r>
      <w:r w:rsidRPr="00261171">
        <w:rPr>
          <w:szCs w:val="22"/>
        </w:rPr>
        <w:t>τικών</w:t>
      </w:r>
      <w:proofErr w:type="spellEnd"/>
      <w:r w:rsidRPr="00261171">
        <w:rPr>
          <w:szCs w:val="22"/>
        </w:rPr>
        <w:t xml:space="preserve"> μονάδων κατά 0,9</w:t>
      </w:r>
      <w:r w:rsidRPr="00261171">
        <w:rPr>
          <w:szCs w:val="22"/>
          <w:lang w:val="en-US"/>
        </w:rPr>
        <w:t>GW</w:t>
      </w:r>
      <w:r w:rsidRPr="00261171">
        <w:rPr>
          <w:szCs w:val="22"/>
        </w:rPr>
        <w:t>, η οποία υπερκαλύφθηκε από την αύξηση της ισχύος σε ΑΠΕ κατά 1,1</w:t>
      </w:r>
      <w:r w:rsidRPr="00261171">
        <w:rPr>
          <w:szCs w:val="22"/>
          <w:lang w:val="en-US"/>
        </w:rPr>
        <w:t>GW</w:t>
      </w:r>
      <w:r w:rsidR="004B12A5" w:rsidRPr="00190017">
        <w:rPr>
          <w:szCs w:val="22"/>
        </w:rPr>
        <w:t xml:space="preserve">. </w:t>
      </w:r>
      <w:r w:rsidR="004B12A5">
        <w:rPr>
          <w:szCs w:val="22"/>
        </w:rPr>
        <w:t>Π</w:t>
      </w:r>
      <w:r w:rsidRPr="00261171">
        <w:rPr>
          <w:szCs w:val="22"/>
        </w:rPr>
        <w:t>αράλληλα</w:t>
      </w:r>
      <w:r w:rsidR="004B12A5">
        <w:rPr>
          <w:szCs w:val="22"/>
        </w:rPr>
        <w:t>,</w:t>
      </w:r>
      <w:r w:rsidRPr="00261171">
        <w:rPr>
          <w:szCs w:val="22"/>
        </w:rPr>
        <w:t xml:space="preserve"> η μείωση των εκπομπών </w:t>
      </w:r>
      <w:r w:rsidRPr="00261171">
        <w:rPr>
          <w:szCs w:val="22"/>
          <w:lang w:val="en-US"/>
        </w:rPr>
        <w:t>CO</w:t>
      </w:r>
      <w:r w:rsidRPr="00190017">
        <w:rPr>
          <w:szCs w:val="22"/>
          <w:vertAlign w:val="subscript"/>
        </w:rPr>
        <w:t>2</w:t>
      </w:r>
      <w:r w:rsidRPr="00261171">
        <w:rPr>
          <w:szCs w:val="22"/>
        </w:rPr>
        <w:t xml:space="preserve"> (</w:t>
      </w:r>
      <w:r w:rsidRPr="00261171">
        <w:rPr>
          <w:szCs w:val="22"/>
          <w:lang w:val="en-US"/>
        </w:rPr>
        <w:t>Scope</w:t>
      </w:r>
      <w:r w:rsidRPr="00261171">
        <w:rPr>
          <w:szCs w:val="22"/>
        </w:rPr>
        <w:t xml:space="preserve"> 1) κατά 34% οδήγησε σε βελτίωση της έντασης εκπομπών </w:t>
      </w:r>
      <w:r w:rsidRPr="00261171">
        <w:rPr>
          <w:szCs w:val="22"/>
          <w:lang w:val="en-US"/>
        </w:rPr>
        <w:t>CO</w:t>
      </w:r>
      <w:r w:rsidRPr="00190017">
        <w:rPr>
          <w:szCs w:val="22"/>
          <w:vertAlign w:val="subscript"/>
        </w:rPr>
        <w:t>2</w:t>
      </w:r>
      <w:r w:rsidRPr="00261171">
        <w:rPr>
          <w:szCs w:val="22"/>
        </w:rPr>
        <w:t xml:space="preserve"> σε 0,5 τόνους ανά </w:t>
      </w:r>
      <w:proofErr w:type="spellStart"/>
      <w:r w:rsidRPr="00261171">
        <w:rPr>
          <w:szCs w:val="22"/>
        </w:rPr>
        <w:t>παραγώμενη</w:t>
      </w:r>
      <w:proofErr w:type="spellEnd"/>
      <w:r w:rsidRPr="00261171">
        <w:rPr>
          <w:szCs w:val="22"/>
        </w:rPr>
        <w:t xml:space="preserve"> </w:t>
      </w:r>
      <w:r w:rsidRPr="00261171">
        <w:rPr>
          <w:szCs w:val="22"/>
          <w:lang w:val="en-US"/>
        </w:rPr>
        <w:t>MWh</w:t>
      </w:r>
      <w:r w:rsidRPr="00261171">
        <w:rPr>
          <w:szCs w:val="22"/>
        </w:rPr>
        <w:t xml:space="preserve"> από 0,66 τόνους ανά </w:t>
      </w:r>
      <w:proofErr w:type="spellStart"/>
      <w:r w:rsidRPr="00261171">
        <w:rPr>
          <w:szCs w:val="22"/>
        </w:rPr>
        <w:t>παραγώμενη</w:t>
      </w:r>
      <w:proofErr w:type="spellEnd"/>
      <w:r w:rsidRPr="00261171">
        <w:rPr>
          <w:szCs w:val="22"/>
        </w:rPr>
        <w:t xml:space="preserve"> </w:t>
      </w:r>
      <w:r w:rsidRPr="00261171">
        <w:rPr>
          <w:szCs w:val="22"/>
          <w:lang w:val="en-US"/>
        </w:rPr>
        <w:t>MWh</w:t>
      </w:r>
      <w:r w:rsidRPr="00261171">
        <w:rPr>
          <w:szCs w:val="22"/>
        </w:rPr>
        <w:t xml:space="preserve"> το 2022.</w:t>
      </w:r>
    </w:p>
    <w:p w14:paraId="07673F9B" w14:textId="77777777" w:rsidR="00261171" w:rsidRPr="00261171" w:rsidRDefault="00261171" w:rsidP="00261171">
      <w:pPr>
        <w:pStyle w:val="DehPressRelease"/>
        <w:jc w:val="both"/>
        <w:rPr>
          <w:szCs w:val="22"/>
        </w:rPr>
      </w:pPr>
    </w:p>
    <w:p w14:paraId="05E5A2BE" w14:textId="5B7A447B" w:rsidR="009B36C8" w:rsidRPr="002855F5" w:rsidRDefault="005D7E8D" w:rsidP="00A34493">
      <w:pPr>
        <w:pStyle w:val="DehPressRelease"/>
        <w:spacing w:line="240" w:lineRule="auto"/>
        <w:jc w:val="both"/>
        <w:rPr>
          <w:b/>
          <w:bCs/>
          <w:szCs w:val="22"/>
        </w:rPr>
      </w:pPr>
      <w:r w:rsidRPr="002855F5">
        <w:rPr>
          <w:b/>
          <w:bCs/>
          <w:szCs w:val="22"/>
        </w:rPr>
        <w:t>Δραστηριότητα Διανομής</w:t>
      </w:r>
    </w:p>
    <w:p w14:paraId="1FA3AB14" w14:textId="2FBA56FC" w:rsidR="002855F5" w:rsidRDefault="002855F5" w:rsidP="004E7CE8">
      <w:pPr>
        <w:pStyle w:val="DehPressRelease"/>
        <w:spacing w:after="0" w:line="240" w:lineRule="auto"/>
        <w:jc w:val="both"/>
        <w:rPr>
          <w:szCs w:val="22"/>
        </w:rPr>
      </w:pPr>
      <w:r w:rsidRPr="002855F5">
        <w:rPr>
          <w:szCs w:val="22"/>
        </w:rPr>
        <w:t xml:space="preserve">Η δραστηριότητα διανομής συνεχίζει να αναπτύσσεται σύμφωνα με την στρατηγική </w:t>
      </w:r>
      <w:r w:rsidR="00F26D2C">
        <w:rPr>
          <w:szCs w:val="22"/>
        </w:rPr>
        <w:t xml:space="preserve">μας </w:t>
      </w:r>
      <w:r w:rsidRPr="002855F5">
        <w:rPr>
          <w:szCs w:val="22"/>
        </w:rPr>
        <w:t xml:space="preserve">για τον </w:t>
      </w:r>
      <w:r w:rsidR="00F92A39" w:rsidRPr="002855F5">
        <w:rPr>
          <w:szCs w:val="22"/>
        </w:rPr>
        <w:t>εκσυγχρονισμό</w:t>
      </w:r>
      <w:r w:rsidRPr="002855F5">
        <w:rPr>
          <w:szCs w:val="22"/>
        </w:rPr>
        <w:t xml:space="preserve"> </w:t>
      </w:r>
      <w:r w:rsidR="00BA6E2C">
        <w:rPr>
          <w:szCs w:val="22"/>
        </w:rPr>
        <w:t>των</w:t>
      </w:r>
      <w:r w:rsidR="00BA6E2C" w:rsidRPr="002855F5">
        <w:rPr>
          <w:szCs w:val="22"/>
        </w:rPr>
        <w:t xml:space="preserve"> </w:t>
      </w:r>
      <w:r w:rsidRPr="002855F5">
        <w:rPr>
          <w:szCs w:val="22"/>
        </w:rPr>
        <w:t>δικτύων</w:t>
      </w:r>
      <w:r w:rsidR="00F26D2C">
        <w:rPr>
          <w:szCs w:val="22"/>
        </w:rPr>
        <w:t xml:space="preserve"> μας</w:t>
      </w:r>
      <w:r w:rsidRPr="002855F5">
        <w:rPr>
          <w:szCs w:val="22"/>
        </w:rPr>
        <w:t xml:space="preserve">. Το 2023 σχεδόν όλοι οι δείκτες απόδοσης βελτιώθηκαν και στις </w:t>
      </w:r>
      <w:r w:rsidR="00BA6E2C">
        <w:rPr>
          <w:szCs w:val="22"/>
        </w:rPr>
        <w:t>δύο</w:t>
      </w:r>
      <w:r w:rsidR="00BA6E2C" w:rsidRPr="002855F5">
        <w:rPr>
          <w:szCs w:val="22"/>
        </w:rPr>
        <w:t xml:space="preserve"> </w:t>
      </w:r>
      <w:r w:rsidR="00BA6E2C">
        <w:rPr>
          <w:szCs w:val="22"/>
        </w:rPr>
        <w:t>βασικές</w:t>
      </w:r>
      <w:r w:rsidR="00BA6E2C" w:rsidRPr="002855F5">
        <w:rPr>
          <w:szCs w:val="22"/>
        </w:rPr>
        <w:t xml:space="preserve"> </w:t>
      </w:r>
      <w:r w:rsidRPr="002855F5">
        <w:rPr>
          <w:szCs w:val="22"/>
        </w:rPr>
        <w:t xml:space="preserve">χώρες που δραστηριοποιείται η ΔΕΗ </w:t>
      </w:r>
      <w:r w:rsidR="00BA6E2C" w:rsidRPr="002855F5">
        <w:rPr>
          <w:szCs w:val="22"/>
        </w:rPr>
        <w:t>λόγω</w:t>
      </w:r>
      <w:r w:rsidRPr="002855F5">
        <w:rPr>
          <w:szCs w:val="22"/>
        </w:rPr>
        <w:t xml:space="preserve"> της αύξησης των επενδύσεων και της επιτάχυνσης της </w:t>
      </w:r>
      <w:proofErr w:type="spellStart"/>
      <w:r w:rsidRPr="002855F5">
        <w:rPr>
          <w:szCs w:val="22"/>
        </w:rPr>
        <w:t>ψηφιοποίησης</w:t>
      </w:r>
      <w:proofErr w:type="spellEnd"/>
      <w:r w:rsidRPr="002855F5">
        <w:rPr>
          <w:szCs w:val="22"/>
        </w:rPr>
        <w:t xml:space="preserve">. Ειδικότερα, ο δείκτης </w:t>
      </w:r>
      <w:r w:rsidRPr="002855F5">
        <w:rPr>
          <w:szCs w:val="22"/>
          <w:lang w:val="en-US"/>
        </w:rPr>
        <w:t>SAIDI</w:t>
      </w:r>
      <w:r w:rsidRPr="002855F5">
        <w:rPr>
          <w:szCs w:val="22"/>
        </w:rPr>
        <w:t xml:space="preserve"> μειώθηκε στα 137 λεπτά (από 138 λεπτά) στην Ελλάδα </w:t>
      </w:r>
      <w:r w:rsidRPr="002855F5">
        <w:rPr>
          <w:szCs w:val="22"/>
        </w:rPr>
        <w:lastRenderedPageBreak/>
        <w:t xml:space="preserve">και στα 89 λεπτά (από 91 λεπτά) στην Ρουμανία. </w:t>
      </w:r>
      <w:r w:rsidRPr="00C80A6C">
        <w:rPr>
          <w:szCs w:val="22"/>
        </w:rPr>
        <w:t xml:space="preserve">Ο δείκτης </w:t>
      </w:r>
      <w:r w:rsidRPr="002855F5">
        <w:rPr>
          <w:szCs w:val="22"/>
          <w:lang w:val="en-US"/>
        </w:rPr>
        <w:t>SAIFI</w:t>
      </w:r>
      <w:r w:rsidRPr="00C80A6C">
        <w:rPr>
          <w:szCs w:val="22"/>
        </w:rPr>
        <w:t xml:space="preserve"> </w:t>
      </w:r>
      <w:r w:rsidR="00C55D6A" w:rsidRPr="00C80A6C">
        <w:rPr>
          <w:szCs w:val="22"/>
        </w:rPr>
        <w:t xml:space="preserve">στην Ελλάδα </w:t>
      </w:r>
      <w:r w:rsidR="00C55D6A">
        <w:rPr>
          <w:szCs w:val="22"/>
        </w:rPr>
        <w:t>παρέμεινε σταθερός σε 1,8 φορές</w:t>
      </w:r>
      <w:r w:rsidR="00582AEB">
        <w:rPr>
          <w:szCs w:val="22"/>
        </w:rPr>
        <w:t xml:space="preserve"> και στη Ρουμανία </w:t>
      </w:r>
      <w:r w:rsidRPr="00C80A6C">
        <w:rPr>
          <w:szCs w:val="22"/>
        </w:rPr>
        <w:t>μειώθηκε σε 2,5 φορές (από 2,6 φορές).</w:t>
      </w:r>
    </w:p>
    <w:p w14:paraId="4E631CE1" w14:textId="77777777" w:rsidR="00356860" w:rsidRPr="00C80A6C" w:rsidRDefault="00356860" w:rsidP="004E7CE8">
      <w:pPr>
        <w:pStyle w:val="DehPressRelease"/>
        <w:spacing w:after="0" w:line="240" w:lineRule="auto"/>
        <w:jc w:val="both"/>
        <w:rPr>
          <w:szCs w:val="22"/>
        </w:rPr>
      </w:pPr>
    </w:p>
    <w:p w14:paraId="78A43EE1" w14:textId="5D2EADC8" w:rsidR="00BC3C9A" w:rsidRDefault="00CF5611" w:rsidP="004E7CE8">
      <w:pPr>
        <w:pStyle w:val="DehPressRelease"/>
        <w:spacing w:after="0" w:line="240" w:lineRule="auto"/>
        <w:jc w:val="both"/>
        <w:rPr>
          <w:szCs w:val="22"/>
        </w:rPr>
      </w:pPr>
      <w:r w:rsidRPr="00CF5611">
        <w:rPr>
          <w:szCs w:val="22"/>
        </w:rPr>
        <w:t>Η διείσδυση των έξυπνων μετρητών ήταν αρκετά υψηλή στην Ρουμανία φτάνοντας το 47% (</w:t>
      </w:r>
      <w:r w:rsidR="008062EA" w:rsidRPr="00CF5611">
        <w:rPr>
          <w:szCs w:val="22"/>
        </w:rPr>
        <w:t>από</w:t>
      </w:r>
      <w:r w:rsidRPr="00CF5611">
        <w:rPr>
          <w:szCs w:val="22"/>
        </w:rPr>
        <w:t xml:space="preserve"> 41%) και στην Ελλάδα αναμένεται να αυξηθεί περαιτέρω από το </w:t>
      </w:r>
      <w:r w:rsidR="00B6038E">
        <w:rPr>
          <w:szCs w:val="22"/>
        </w:rPr>
        <w:t>10%</w:t>
      </w:r>
      <w:r w:rsidRPr="00CF5611">
        <w:rPr>
          <w:szCs w:val="22"/>
        </w:rPr>
        <w:t xml:space="preserve"> που </w:t>
      </w:r>
      <w:r w:rsidR="008062EA" w:rsidRPr="00F415DF">
        <w:rPr>
          <w:szCs w:val="22"/>
        </w:rPr>
        <w:t xml:space="preserve">βρίσκεται </w:t>
      </w:r>
      <w:r w:rsidRPr="00F415DF">
        <w:rPr>
          <w:szCs w:val="22"/>
        </w:rPr>
        <w:t xml:space="preserve">σήμερα, μόλις ξεκινήσει </w:t>
      </w:r>
      <w:r w:rsidRPr="00190017">
        <w:rPr>
          <w:szCs w:val="22"/>
        </w:rPr>
        <w:t xml:space="preserve">η ευρύτερη </w:t>
      </w:r>
      <w:r w:rsidR="00F415DF" w:rsidRPr="00190017">
        <w:rPr>
          <w:szCs w:val="22"/>
        </w:rPr>
        <w:t xml:space="preserve">εγκατάσταση </w:t>
      </w:r>
      <w:r w:rsidRPr="00190017">
        <w:rPr>
          <w:szCs w:val="22"/>
        </w:rPr>
        <w:t>των έξυπνων μετρητών.</w:t>
      </w:r>
    </w:p>
    <w:p w14:paraId="6EB72E00" w14:textId="77777777" w:rsidR="00356860" w:rsidRPr="00CF5611" w:rsidRDefault="00356860" w:rsidP="004E7CE8">
      <w:pPr>
        <w:pStyle w:val="DehPressRelease"/>
        <w:spacing w:after="0" w:line="240" w:lineRule="auto"/>
        <w:jc w:val="both"/>
        <w:rPr>
          <w:szCs w:val="22"/>
        </w:rPr>
      </w:pPr>
    </w:p>
    <w:p w14:paraId="7AA57097" w14:textId="1C062E47" w:rsidR="00454771" w:rsidRPr="006F3A45" w:rsidRDefault="00D34BBE" w:rsidP="00454771">
      <w:pPr>
        <w:pStyle w:val="DehPressRelease"/>
        <w:spacing w:after="0" w:line="240" w:lineRule="auto"/>
        <w:jc w:val="both"/>
        <w:rPr>
          <w:szCs w:val="22"/>
          <w:highlight w:val="yellow"/>
        </w:rPr>
      </w:pPr>
      <w:r w:rsidRPr="00E3332E">
        <w:rPr>
          <w:szCs w:val="22"/>
        </w:rPr>
        <w:t xml:space="preserve">Η ένταξη σταθμών </w:t>
      </w:r>
      <w:r>
        <w:rPr>
          <w:szCs w:val="22"/>
        </w:rPr>
        <w:t>ΑΠΕ</w:t>
      </w:r>
      <w:r w:rsidRPr="00E3332E">
        <w:rPr>
          <w:szCs w:val="22"/>
        </w:rPr>
        <w:t xml:space="preserve"> στην </w:t>
      </w:r>
      <w:r w:rsidRPr="000E2AB0">
        <w:rPr>
          <w:szCs w:val="22"/>
        </w:rPr>
        <w:t>Ελλάδα έδειξε σημάδια σταθεροποίησης το 2023, μετά από σημαντική ανάπτυξη τα προηγούμενα χρόνια με περίπου 1GW να συνδέεται στο δίκτυο έναντι 1,1GW το 2022</w:t>
      </w:r>
      <w:r w:rsidRPr="006F3A45">
        <w:rPr>
          <w:szCs w:val="22"/>
        </w:rPr>
        <w:t xml:space="preserve">. Στη Ρουμανία, </w:t>
      </w:r>
      <w:r w:rsidR="00454771" w:rsidRPr="006F3A45">
        <w:rPr>
          <w:szCs w:val="22"/>
        </w:rPr>
        <w:t>καταγράφηκε σημαντική αύ</w:t>
      </w:r>
      <w:r w:rsidR="002376E2" w:rsidRPr="006F3A45">
        <w:rPr>
          <w:szCs w:val="22"/>
        </w:rPr>
        <w:t>ξηση</w:t>
      </w:r>
      <w:r w:rsidR="00C25F3F" w:rsidRPr="006F3A45">
        <w:rPr>
          <w:szCs w:val="22"/>
        </w:rPr>
        <w:t xml:space="preserve"> με </w:t>
      </w:r>
      <w:r w:rsidR="00CF41AE" w:rsidRPr="006F3A45">
        <w:rPr>
          <w:szCs w:val="22"/>
        </w:rPr>
        <w:t xml:space="preserve">συνδέσεις </w:t>
      </w:r>
      <w:r w:rsidR="00A309B0" w:rsidRPr="006F3A45">
        <w:rPr>
          <w:szCs w:val="22"/>
        </w:rPr>
        <w:t>περίπου 0,4</w:t>
      </w:r>
      <w:r w:rsidR="00A309B0" w:rsidRPr="006F3A45">
        <w:rPr>
          <w:szCs w:val="22"/>
          <w:lang w:val="en-US"/>
        </w:rPr>
        <w:t>GW</w:t>
      </w:r>
      <w:r w:rsidR="000E2AB0" w:rsidRPr="006F3A45">
        <w:rPr>
          <w:szCs w:val="22"/>
        </w:rPr>
        <w:t xml:space="preserve"> το 2023 έναντι </w:t>
      </w:r>
      <w:r w:rsidR="00454771" w:rsidRPr="006F3A45">
        <w:rPr>
          <w:szCs w:val="22"/>
        </w:rPr>
        <w:t>0</w:t>
      </w:r>
      <w:r w:rsidR="000E2AB0" w:rsidRPr="000E2AB0">
        <w:rPr>
          <w:szCs w:val="22"/>
        </w:rPr>
        <w:t>,</w:t>
      </w:r>
      <w:r w:rsidR="00454771" w:rsidRPr="006F3A45">
        <w:rPr>
          <w:szCs w:val="22"/>
        </w:rPr>
        <w:t>1</w:t>
      </w:r>
      <w:r w:rsidR="00454771" w:rsidRPr="000E2AB0">
        <w:rPr>
          <w:szCs w:val="22"/>
          <w:lang w:val="en-US"/>
        </w:rPr>
        <w:t>GW</w:t>
      </w:r>
      <w:r w:rsidR="00454771" w:rsidRPr="006F3A45">
        <w:rPr>
          <w:szCs w:val="22"/>
        </w:rPr>
        <w:t xml:space="preserve"> </w:t>
      </w:r>
      <w:r w:rsidR="000E2AB0" w:rsidRPr="000E2AB0">
        <w:rPr>
          <w:szCs w:val="22"/>
        </w:rPr>
        <w:t>το</w:t>
      </w:r>
      <w:r w:rsidR="00454771" w:rsidRPr="006F3A45">
        <w:rPr>
          <w:szCs w:val="22"/>
        </w:rPr>
        <w:t xml:space="preserve"> 2022. </w:t>
      </w:r>
    </w:p>
    <w:p w14:paraId="2F1051F7" w14:textId="37DD4465" w:rsidR="00D34BBE" w:rsidRPr="000E2AB0" w:rsidRDefault="00D34BBE">
      <w:pPr>
        <w:pStyle w:val="DehPressRelease"/>
        <w:spacing w:after="0" w:line="240" w:lineRule="auto"/>
        <w:jc w:val="both"/>
        <w:rPr>
          <w:szCs w:val="22"/>
          <w:highlight w:val="yellow"/>
        </w:rPr>
      </w:pPr>
    </w:p>
    <w:p w14:paraId="3842C78C" w14:textId="2183EE65" w:rsidR="006E3A53" w:rsidRPr="006E3A53" w:rsidRDefault="006E3A53" w:rsidP="006E3A53">
      <w:pPr>
        <w:pStyle w:val="DehPressRelease"/>
        <w:spacing w:after="0" w:line="240" w:lineRule="auto"/>
        <w:jc w:val="both"/>
        <w:rPr>
          <w:szCs w:val="22"/>
        </w:rPr>
      </w:pPr>
      <w:r w:rsidRPr="006E3A53">
        <w:rPr>
          <w:szCs w:val="22"/>
        </w:rPr>
        <w:t xml:space="preserve">Η Ρυθμιζόμενη </w:t>
      </w:r>
      <w:r>
        <w:rPr>
          <w:szCs w:val="22"/>
        </w:rPr>
        <w:t>Π</w:t>
      </w:r>
      <w:r w:rsidRPr="006E3A53">
        <w:rPr>
          <w:szCs w:val="22"/>
        </w:rPr>
        <w:t xml:space="preserve">εριουσιακή </w:t>
      </w:r>
      <w:r>
        <w:rPr>
          <w:szCs w:val="22"/>
        </w:rPr>
        <w:t>Β</w:t>
      </w:r>
      <w:r w:rsidRPr="006E3A53">
        <w:rPr>
          <w:szCs w:val="22"/>
        </w:rPr>
        <w:t>άση</w:t>
      </w:r>
      <w:r w:rsidRPr="00E3332E">
        <w:rPr>
          <w:szCs w:val="22"/>
        </w:rPr>
        <w:t xml:space="preserve"> αυξήθηκε στα 4,3 δισ. ευρώ από 3,9 δισ. ευρώ το 2022, λόγω των υψηλότερων </w:t>
      </w:r>
      <w:r>
        <w:rPr>
          <w:szCs w:val="22"/>
        </w:rPr>
        <w:t>επενδύσεων</w:t>
      </w:r>
      <w:r w:rsidRPr="00E3332E">
        <w:rPr>
          <w:szCs w:val="22"/>
        </w:rPr>
        <w:t xml:space="preserve"> στην Ελλάδα και της κεφαλαιοποίησης των </w:t>
      </w:r>
      <w:r w:rsidR="002F0F82">
        <w:rPr>
          <w:szCs w:val="22"/>
        </w:rPr>
        <w:t>απωλειών</w:t>
      </w:r>
      <w:r w:rsidR="002F0F82" w:rsidRPr="00E3332E">
        <w:rPr>
          <w:szCs w:val="22"/>
        </w:rPr>
        <w:t xml:space="preserve"> </w:t>
      </w:r>
      <w:r w:rsidRPr="00E3332E">
        <w:rPr>
          <w:szCs w:val="22"/>
        </w:rPr>
        <w:t>δικτύου</w:t>
      </w:r>
      <w:r w:rsidR="00026B5D" w:rsidRPr="00190017">
        <w:rPr>
          <w:szCs w:val="22"/>
        </w:rPr>
        <w:t xml:space="preserve"> </w:t>
      </w:r>
      <w:r w:rsidR="00026B5D">
        <w:rPr>
          <w:szCs w:val="22"/>
        </w:rPr>
        <w:t>προηγούμενων ετών</w:t>
      </w:r>
      <w:r w:rsidRPr="00E3332E">
        <w:rPr>
          <w:szCs w:val="22"/>
        </w:rPr>
        <w:t xml:space="preserve"> στη Ρουμανία.</w:t>
      </w:r>
    </w:p>
    <w:p w14:paraId="18AEA715" w14:textId="77777777" w:rsidR="006E3A53" w:rsidRPr="006E3A53" w:rsidRDefault="006E3A53" w:rsidP="00BA7DCC">
      <w:pPr>
        <w:pStyle w:val="DehPressRelease"/>
        <w:spacing w:after="0" w:line="240" w:lineRule="auto"/>
        <w:jc w:val="both"/>
        <w:rPr>
          <w:szCs w:val="22"/>
        </w:rPr>
      </w:pPr>
    </w:p>
    <w:p w14:paraId="16B3C27B" w14:textId="77777777" w:rsidR="002B1C64" w:rsidRPr="00C80A6C" w:rsidRDefault="002B1C64" w:rsidP="00BA7DCC">
      <w:pPr>
        <w:pStyle w:val="DehPressRelease"/>
        <w:spacing w:after="0" w:line="240" w:lineRule="auto"/>
        <w:jc w:val="both"/>
        <w:rPr>
          <w:szCs w:val="22"/>
        </w:rPr>
      </w:pPr>
    </w:p>
    <w:p w14:paraId="4E63D20E" w14:textId="77777777" w:rsidR="000A0D52" w:rsidRPr="00C80A6C" w:rsidRDefault="000A0D52" w:rsidP="004E7CE8">
      <w:pPr>
        <w:pStyle w:val="DehPressRelease"/>
        <w:spacing w:after="0" w:line="240" w:lineRule="auto"/>
        <w:jc w:val="both"/>
        <w:rPr>
          <w:b/>
          <w:bCs/>
          <w:szCs w:val="22"/>
        </w:rPr>
      </w:pPr>
      <w:r w:rsidRPr="00C80A6C">
        <w:rPr>
          <w:b/>
          <w:bCs/>
          <w:szCs w:val="22"/>
        </w:rPr>
        <w:t xml:space="preserve">Τηλεπικοινωνίες </w:t>
      </w:r>
    </w:p>
    <w:p w14:paraId="13C623D7" w14:textId="77777777" w:rsidR="000A0D52" w:rsidRPr="00C80A6C" w:rsidRDefault="000A0D52" w:rsidP="004E7CE8">
      <w:pPr>
        <w:pStyle w:val="DehPressRelease"/>
        <w:spacing w:after="0" w:line="240" w:lineRule="auto"/>
        <w:jc w:val="both"/>
        <w:rPr>
          <w:b/>
          <w:bCs/>
          <w:szCs w:val="22"/>
        </w:rPr>
      </w:pPr>
    </w:p>
    <w:p w14:paraId="3C51195E" w14:textId="7193B857" w:rsidR="008E71A0" w:rsidRPr="008E71A0" w:rsidRDefault="008E71A0" w:rsidP="004E7CE8">
      <w:pPr>
        <w:pStyle w:val="DehPressRelease"/>
        <w:spacing w:after="0" w:line="240" w:lineRule="auto"/>
        <w:jc w:val="both"/>
        <w:rPr>
          <w:szCs w:val="22"/>
        </w:rPr>
      </w:pPr>
      <w:r w:rsidRPr="00D3624A">
        <w:rPr>
          <w:szCs w:val="22"/>
        </w:rPr>
        <w:t xml:space="preserve">Στην ανάπτυξη του </w:t>
      </w:r>
      <w:r w:rsidRPr="00D3624A">
        <w:rPr>
          <w:szCs w:val="22"/>
          <w:lang w:val="en-US"/>
        </w:rPr>
        <w:t>Fiber</w:t>
      </w:r>
      <w:r w:rsidRPr="00D3624A">
        <w:rPr>
          <w:szCs w:val="22"/>
        </w:rPr>
        <w:t>-</w:t>
      </w:r>
      <w:r w:rsidRPr="00D3624A">
        <w:rPr>
          <w:szCs w:val="22"/>
          <w:lang w:val="en-US"/>
        </w:rPr>
        <w:t>to</w:t>
      </w:r>
      <w:r w:rsidRPr="00D3624A">
        <w:rPr>
          <w:szCs w:val="22"/>
        </w:rPr>
        <w:t>-</w:t>
      </w:r>
      <w:r w:rsidRPr="00D3624A">
        <w:rPr>
          <w:szCs w:val="22"/>
          <w:lang w:val="en-US"/>
        </w:rPr>
        <w:t>the</w:t>
      </w:r>
      <w:r w:rsidRPr="00D3624A">
        <w:rPr>
          <w:szCs w:val="22"/>
        </w:rPr>
        <w:t>-</w:t>
      </w:r>
      <w:r w:rsidRPr="00D3624A">
        <w:rPr>
          <w:szCs w:val="22"/>
          <w:lang w:val="en-US"/>
        </w:rPr>
        <w:t>home</w:t>
      </w:r>
      <w:r w:rsidRPr="00D3624A">
        <w:rPr>
          <w:szCs w:val="22"/>
        </w:rPr>
        <w:t>, το πλάνο προχωράει έχοντας φτάσει σε 140.000 σπίτια στην Αττική στο τέλος του 2023 και 185.00</w:t>
      </w:r>
      <w:r w:rsidR="00F008D0" w:rsidRPr="00190017">
        <w:rPr>
          <w:szCs w:val="22"/>
        </w:rPr>
        <w:t>0</w:t>
      </w:r>
      <w:r w:rsidRPr="00D3624A">
        <w:rPr>
          <w:szCs w:val="22"/>
        </w:rPr>
        <w:t xml:space="preserve"> </w:t>
      </w:r>
      <w:r w:rsidR="00F008D0" w:rsidRPr="00D3624A">
        <w:rPr>
          <w:szCs w:val="22"/>
        </w:rPr>
        <w:t xml:space="preserve"> στο </w:t>
      </w:r>
      <w:r w:rsidRPr="00D3624A">
        <w:rPr>
          <w:szCs w:val="22"/>
        </w:rPr>
        <w:t>τέλος Μαρτίου</w:t>
      </w:r>
      <w:r w:rsidR="00F008D0" w:rsidRPr="00D3624A">
        <w:rPr>
          <w:szCs w:val="22"/>
        </w:rPr>
        <w:t xml:space="preserve"> 2024</w:t>
      </w:r>
      <w:r w:rsidRPr="008E71A0">
        <w:rPr>
          <w:szCs w:val="22"/>
        </w:rPr>
        <w:t xml:space="preserve">. Στόχος είναι το δίκτυο </w:t>
      </w:r>
      <w:r w:rsidRPr="008E71A0">
        <w:rPr>
          <w:szCs w:val="22"/>
          <w:lang w:val="en-US"/>
        </w:rPr>
        <w:t>FTTH</w:t>
      </w:r>
      <w:r w:rsidRPr="008E71A0">
        <w:rPr>
          <w:szCs w:val="22"/>
        </w:rPr>
        <w:t xml:space="preserve"> να φτάσει σε 500</w:t>
      </w:r>
      <w:r w:rsidRPr="009158AB">
        <w:rPr>
          <w:szCs w:val="22"/>
        </w:rPr>
        <w:t xml:space="preserve">.000 νοικοκυριά και επιχειρήσεις στο τέλος του 2024 και σε 1,7 εκατ. το 2025. </w:t>
      </w:r>
      <w:r w:rsidRPr="00190017">
        <w:rPr>
          <w:szCs w:val="22"/>
        </w:rPr>
        <w:t xml:space="preserve">Η εμπορική </w:t>
      </w:r>
      <w:r w:rsidR="009158AB" w:rsidRPr="00190017">
        <w:rPr>
          <w:szCs w:val="22"/>
        </w:rPr>
        <w:t xml:space="preserve">διάθεση </w:t>
      </w:r>
      <w:r w:rsidRPr="00190017">
        <w:rPr>
          <w:szCs w:val="22"/>
        </w:rPr>
        <w:t xml:space="preserve">στην </w:t>
      </w:r>
      <w:r w:rsidR="0045530D" w:rsidRPr="00190017">
        <w:rPr>
          <w:szCs w:val="22"/>
        </w:rPr>
        <w:t>χονδρική</w:t>
      </w:r>
      <w:r w:rsidRPr="009158AB">
        <w:rPr>
          <w:szCs w:val="22"/>
        </w:rPr>
        <w:t xml:space="preserve"> αναμένεται να ξεκινήσει μέσα στο 2024 </w:t>
      </w:r>
      <w:r w:rsidR="001C3233">
        <w:rPr>
          <w:szCs w:val="22"/>
        </w:rPr>
        <w:t>είτε ως</w:t>
      </w:r>
      <w:r w:rsidRPr="008E71A0">
        <w:rPr>
          <w:szCs w:val="22"/>
        </w:rPr>
        <w:t xml:space="preserve"> χονδρική υπηρεσία με ταχύτητες που μπορούν να φτάνουν έως και τα 10 </w:t>
      </w:r>
      <w:r w:rsidRPr="008E71A0">
        <w:rPr>
          <w:szCs w:val="22"/>
          <w:lang w:val="en-US"/>
        </w:rPr>
        <w:t>Gbps</w:t>
      </w:r>
      <w:r w:rsidRPr="008E71A0">
        <w:rPr>
          <w:szCs w:val="22"/>
        </w:rPr>
        <w:t xml:space="preserve"> </w:t>
      </w:r>
      <w:r w:rsidR="00992219">
        <w:rPr>
          <w:szCs w:val="22"/>
        </w:rPr>
        <w:t>είτε</w:t>
      </w:r>
      <w:r w:rsidRPr="008E71A0">
        <w:rPr>
          <w:szCs w:val="22"/>
        </w:rPr>
        <w:t xml:space="preserve"> με την διάθεση υπηρεσίας σκοτεινής ίνας (</w:t>
      </w:r>
      <w:r w:rsidRPr="008E71A0">
        <w:rPr>
          <w:szCs w:val="22"/>
          <w:lang w:val="en-US"/>
        </w:rPr>
        <w:t>dark</w:t>
      </w:r>
      <w:r w:rsidRPr="008E71A0">
        <w:rPr>
          <w:szCs w:val="22"/>
        </w:rPr>
        <w:t xml:space="preserve"> </w:t>
      </w:r>
      <w:r w:rsidRPr="008E71A0">
        <w:rPr>
          <w:szCs w:val="22"/>
          <w:lang w:val="en-US"/>
        </w:rPr>
        <w:t>fiber</w:t>
      </w:r>
      <w:r w:rsidRPr="008E71A0">
        <w:rPr>
          <w:szCs w:val="22"/>
        </w:rPr>
        <w:t xml:space="preserve">), με την οποία ο κάθε </w:t>
      </w:r>
      <w:proofErr w:type="spellStart"/>
      <w:r w:rsidRPr="008E71A0">
        <w:rPr>
          <w:szCs w:val="22"/>
        </w:rPr>
        <w:t>πάροχος</w:t>
      </w:r>
      <w:proofErr w:type="spellEnd"/>
      <w:r w:rsidRPr="008E71A0">
        <w:rPr>
          <w:szCs w:val="22"/>
        </w:rPr>
        <w:t xml:space="preserve"> μπορεί να προσφέρει στον τελικό πελάτη του ό,τι υπηρεσίες επιθυμεί.</w:t>
      </w:r>
    </w:p>
    <w:p w14:paraId="162E2FDF" w14:textId="77777777" w:rsidR="00FE308D" w:rsidRPr="008E71A0" w:rsidRDefault="00FE308D" w:rsidP="004E7CE8">
      <w:pPr>
        <w:pStyle w:val="DehPressRelease"/>
        <w:spacing w:after="0" w:line="240" w:lineRule="auto"/>
        <w:jc w:val="both"/>
        <w:rPr>
          <w:szCs w:val="22"/>
        </w:rPr>
      </w:pPr>
    </w:p>
    <w:p w14:paraId="0699F084" w14:textId="2E0E2310" w:rsidR="0061628A" w:rsidRPr="002D43DD" w:rsidRDefault="0061628A" w:rsidP="0061628A">
      <w:pPr>
        <w:pStyle w:val="DehPressRelease"/>
        <w:spacing w:line="240" w:lineRule="auto"/>
        <w:jc w:val="both"/>
        <w:rPr>
          <w:b/>
          <w:bCs/>
          <w:szCs w:val="22"/>
        </w:rPr>
      </w:pPr>
      <w:r>
        <w:rPr>
          <w:b/>
          <w:bCs/>
          <w:szCs w:val="22"/>
          <w:lang w:val="en-US"/>
        </w:rPr>
        <w:t>E</w:t>
      </w:r>
      <w:r w:rsidRPr="002D43DD">
        <w:rPr>
          <w:b/>
          <w:bCs/>
          <w:szCs w:val="22"/>
        </w:rPr>
        <w:t>-</w:t>
      </w:r>
      <w:r>
        <w:rPr>
          <w:b/>
          <w:bCs/>
          <w:szCs w:val="22"/>
          <w:lang w:val="en-US"/>
        </w:rPr>
        <w:t>mobility</w:t>
      </w:r>
    </w:p>
    <w:p w14:paraId="142554EE" w14:textId="561A286B" w:rsidR="00E4333E" w:rsidRPr="00E4333E" w:rsidRDefault="00395967">
      <w:pPr>
        <w:pStyle w:val="DehPressRelease"/>
        <w:spacing w:after="0" w:line="240" w:lineRule="auto"/>
        <w:jc w:val="both"/>
        <w:rPr>
          <w:szCs w:val="22"/>
        </w:rPr>
      </w:pPr>
      <w:r w:rsidRPr="00395967">
        <w:rPr>
          <w:szCs w:val="22"/>
        </w:rPr>
        <w:t xml:space="preserve">Στον τομέα </w:t>
      </w:r>
      <w:r>
        <w:rPr>
          <w:szCs w:val="22"/>
        </w:rPr>
        <w:t>της ηλεκτροκίνησης</w:t>
      </w:r>
      <w:r w:rsidRPr="00395967">
        <w:rPr>
          <w:szCs w:val="22"/>
        </w:rPr>
        <w:t xml:space="preserve">, στο τέλος του 2023 η ΔΕΗ, μέσω της θυγατρικής </w:t>
      </w:r>
      <w:r w:rsidR="00FE7C86">
        <w:rPr>
          <w:szCs w:val="22"/>
        </w:rPr>
        <w:t xml:space="preserve">της </w:t>
      </w:r>
      <w:r w:rsidRPr="00395967">
        <w:rPr>
          <w:szCs w:val="22"/>
        </w:rPr>
        <w:t xml:space="preserve">ΔΕΗ </w:t>
      </w:r>
      <w:r w:rsidRPr="00395967">
        <w:rPr>
          <w:szCs w:val="22"/>
          <w:lang w:val="en-US"/>
        </w:rPr>
        <w:t>blue</w:t>
      </w:r>
      <w:r w:rsidRPr="00395967">
        <w:rPr>
          <w:szCs w:val="22"/>
        </w:rPr>
        <w:t xml:space="preserve">, </w:t>
      </w:r>
      <w:r w:rsidR="00FE7C86">
        <w:rPr>
          <w:szCs w:val="22"/>
        </w:rPr>
        <w:t>κατείχε</w:t>
      </w:r>
      <w:r w:rsidRPr="00395967">
        <w:rPr>
          <w:szCs w:val="22"/>
        </w:rPr>
        <w:t xml:space="preserve"> </w:t>
      </w:r>
      <w:r w:rsidR="008350A3">
        <w:rPr>
          <w:szCs w:val="22"/>
        </w:rPr>
        <w:t>ηγετικό</w:t>
      </w:r>
      <w:r w:rsidRPr="00395967">
        <w:rPr>
          <w:szCs w:val="22"/>
        </w:rPr>
        <w:t xml:space="preserve"> μερίδιο αγοράς 35% στ</w:t>
      </w:r>
      <w:r w:rsidR="003359F7">
        <w:rPr>
          <w:szCs w:val="22"/>
        </w:rPr>
        <w:t>α</w:t>
      </w:r>
      <w:r w:rsidRPr="00395967">
        <w:rPr>
          <w:szCs w:val="22"/>
        </w:rPr>
        <w:t xml:space="preserve"> δημόσι</w:t>
      </w:r>
      <w:r w:rsidR="003359F7">
        <w:rPr>
          <w:szCs w:val="22"/>
        </w:rPr>
        <w:t xml:space="preserve">α σημεία </w:t>
      </w:r>
      <w:r w:rsidRPr="00395967">
        <w:rPr>
          <w:szCs w:val="22"/>
        </w:rPr>
        <w:t xml:space="preserve">φόρτισης στην Ελλάδα με 2.015 </w:t>
      </w:r>
      <w:r w:rsidR="003359F7">
        <w:rPr>
          <w:szCs w:val="22"/>
        </w:rPr>
        <w:t>σημεία</w:t>
      </w:r>
      <w:r w:rsidRPr="00395967">
        <w:rPr>
          <w:szCs w:val="22"/>
        </w:rPr>
        <w:t>, σχεδόν διπλάσ</w:t>
      </w:r>
      <w:r w:rsidR="003359F7">
        <w:rPr>
          <w:szCs w:val="22"/>
        </w:rPr>
        <w:t>ια</w:t>
      </w:r>
      <w:r w:rsidRPr="00395967">
        <w:rPr>
          <w:szCs w:val="22"/>
        </w:rPr>
        <w:t xml:space="preserve"> σε σχέση με το τέλος του 2022. </w:t>
      </w:r>
      <w:r w:rsidR="00E4333E">
        <w:rPr>
          <w:szCs w:val="22"/>
        </w:rPr>
        <w:t xml:space="preserve">Η ΔΕΗ </w:t>
      </w:r>
      <w:proofErr w:type="spellStart"/>
      <w:r w:rsidR="00E4333E">
        <w:rPr>
          <w:szCs w:val="22"/>
        </w:rPr>
        <w:t>blue</w:t>
      </w:r>
      <w:proofErr w:type="spellEnd"/>
      <w:r w:rsidR="00E4333E">
        <w:rPr>
          <w:szCs w:val="22"/>
        </w:rPr>
        <w:t xml:space="preserve"> εισήγαγε το 2023 Δείκτη Βιωσιμότητας αποφυγής εκπομπών CO</w:t>
      </w:r>
      <w:r w:rsidR="00E4333E" w:rsidRPr="000E2A03">
        <w:rPr>
          <w:szCs w:val="22"/>
          <w:vertAlign w:val="subscript"/>
        </w:rPr>
        <w:t>2</w:t>
      </w:r>
      <w:r w:rsidR="00E4333E">
        <w:rPr>
          <w:szCs w:val="22"/>
        </w:rPr>
        <w:t xml:space="preserve"> για τους χρήστες που επιλέγουν να φορτίζουν </w:t>
      </w:r>
      <w:r w:rsidR="00BE5C4F" w:rsidRPr="00BE5C4F">
        <w:rPr>
          <w:szCs w:val="22"/>
        </w:rPr>
        <w:t>στ</w:t>
      </w:r>
      <w:r w:rsidR="003359F7">
        <w:rPr>
          <w:szCs w:val="22"/>
        </w:rPr>
        <w:t>α</w:t>
      </w:r>
      <w:r w:rsidR="00BE5C4F" w:rsidRPr="00BE5C4F">
        <w:rPr>
          <w:szCs w:val="22"/>
        </w:rPr>
        <w:t xml:space="preserve"> δημόσι</w:t>
      </w:r>
      <w:r w:rsidR="003359F7">
        <w:rPr>
          <w:szCs w:val="22"/>
        </w:rPr>
        <w:t>α</w:t>
      </w:r>
      <w:r w:rsidR="00BE5C4F" w:rsidRPr="00BE5C4F">
        <w:rPr>
          <w:szCs w:val="22"/>
        </w:rPr>
        <w:t xml:space="preserve"> </w:t>
      </w:r>
      <w:r w:rsidR="003359F7">
        <w:rPr>
          <w:szCs w:val="22"/>
        </w:rPr>
        <w:t>σημεία</w:t>
      </w:r>
      <w:r w:rsidR="00BE5C4F" w:rsidRPr="00BE5C4F">
        <w:rPr>
          <w:szCs w:val="22"/>
        </w:rPr>
        <w:t xml:space="preserve"> φόρτισης </w:t>
      </w:r>
      <w:r w:rsidR="009D405A">
        <w:rPr>
          <w:szCs w:val="22"/>
        </w:rPr>
        <w:t xml:space="preserve">της ΔΕΗ </w:t>
      </w:r>
      <w:proofErr w:type="spellStart"/>
      <w:r w:rsidR="009D405A" w:rsidRPr="00190017">
        <w:rPr>
          <w:szCs w:val="22"/>
        </w:rPr>
        <w:t>blue</w:t>
      </w:r>
      <w:proofErr w:type="spellEnd"/>
      <w:r w:rsidR="00E4333E">
        <w:rPr>
          <w:szCs w:val="22"/>
        </w:rPr>
        <w:t xml:space="preserve"> </w:t>
      </w:r>
      <w:r w:rsidR="003359F7">
        <w:rPr>
          <w:szCs w:val="22"/>
        </w:rPr>
        <w:t>τα οποία</w:t>
      </w:r>
      <w:r w:rsidR="00E4333E">
        <w:rPr>
          <w:szCs w:val="22"/>
        </w:rPr>
        <w:t xml:space="preserve"> εξυπηρετούνται 100% από </w:t>
      </w:r>
      <w:r w:rsidR="00717529">
        <w:rPr>
          <w:szCs w:val="22"/>
        </w:rPr>
        <w:t>ΑΠΕ</w:t>
      </w:r>
      <w:r w:rsidR="00E4333E">
        <w:rPr>
          <w:szCs w:val="22"/>
        </w:rPr>
        <w:t>.</w:t>
      </w:r>
    </w:p>
    <w:p w14:paraId="48701241" w14:textId="77777777" w:rsidR="00143285" w:rsidRDefault="00143285" w:rsidP="00FE308D">
      <w:pPr>
        <w:pStyle w:val="DehPressRelease"/>
        <w:spacing w:after="0" w:line="240" w:lineRule="auto"/>
        <w:jc w:val="both"/>
        <w:rPr>
          <w:rFonts w:asciiTheme="minorHAnsi" w:eastAsiaTheme="minorEastAsia"/>
          <w:color w:val="000000" w:themeColor="text1"/>
          <w:kern w:val="24"/>
          <w:szCs w:val="22"/>
        </w:rPr>
      </w:pPr>
    </w:p>
    <w:p w14:paraId="0D136B88" w14:textId="7F84424D" w:rsidR="00BA0CB5" w:rsidRPr="00E4333E" w:rsidRDefault="00BA0CB5" w:rsidP="00FE308D">
      <w:pPr>
        <w:pStyle w:val="DehPressRelease"/>
        <w:spacing w:after="0" w:line="240" w:lineRule="auto"/>
        <w:jc w:val="both"/>
        <w:rPr>
          <w:szCs w:val="22"/>
        </w:rPr>
      </w:pPr>
    </w:p>
    <w:p w14:paraId="6C2D62ED" w14:textId="77777777" w:rsidR="005D0D8C" w:rsidRPr="005D0D8C" w:rsidRDefault="005D0D8C" w:rsidP="005D0D8C">
      <w:pPr>
        <w:tabs>
          <w:tab w:val="left" w:pos="284"/>
        </w:tabs>
        <w:rPr>
          <w:rFonts w:ascii="Ping LCG Regular" w:hAnsi="Ping LCG Regular"/>
          <w:b/>
          <w:bCs/>
          <w:sz w:val="20"/>
          <w:szCs w:val="20"/>
          <w:u w:val="single"/>
          <w:lang w:val="el-GR"/>
        </w:rPr>
      </w:pPr>
      <w:r w:rsidRPr="005D0D8C">
        <w:rPr>
          <w:rFonts w:ascii="Ping LCG Regular" w:hAnsi="Ping LCG Regular"/>
          <w:b/>
          <w:bCs/>
          <w:sz w:val="20"/>
          <w:szCs w:val="20"/>
          <w:u w:val="single"/>
          <w:lang w:val="el-GR"/>
        </w:rPr>
        <w:t>Πληροφορίες: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18"/>
      </w:tblGrid>
      <w:tr w:rsidR="005D0D8C" w:rsidRPr="005D0D8C" w14:paraId="4E2771D7" w14:textId="77777777">
        <w:tc>
          <w:tcPr>
            <w:tcW w:w="4318" w:type="dxa"/>
          </w:tcPr>
          <w:p w14:paraId="2439220C" w14:textId="77777777" w:rsidR="005D0D8C" w:rsidRPr="005D0D8C" w:rsidRDefault="005D0D8C">
            <w:pPr>
              <w:pStyle w:val="DehPressRelease"/>
              <w:spacing w:after="0" w:line="240" w:lineRule="auto"/>
              <w:rPr>
                <w:sz w:val="20"/>
                <w:szCs w:val="20"/>
              </w:rPr>
            </w:pPr>
            <w:r w:rsidRPr="005D0D8C">
              <w:rPr>
                <w:sz w:val="20"/>
                <w:szCs w:val="20"/>
              </w:rPr>
              <w:t>Διεύθυνση Επενδυτικών Σχέσεων</w:t>
            </w:r>
          </w:p>
          <w:p w14:paraId="3EDBFB41" w14:textId="77777777" w:rsidR="005D0D8C" w:rsidRPr="005D0D8C" w:rsidRDefault="005D0D8C">
            <w:pPr>
              <w:tabs>
                <w:tab w:val="left" w:pos="284"/>
              </w:tabs>
              <w:rPr>
                <w:rFonts w:ascii="Ping LCG Regular" w:hAnsi="Ping LCG Regular"/>
                <w:sz w:val="20"/>
                <w:szCs w:val="20"/>
                <w:lang w:val="el-GR"/>
              </w:rPr>
            </w:pPr>
            <w:r w:rsidRPr="005D0D8C">
              <w:rPr>
                <w:rFonts w:ascii="Ping LCG Regular" w:hAnsi="Ping LCG Regular"/>
                <w:sz w:val="20"/>
                <w:szCs w:val="20"/>
                <w:lang w:val="el-GR"/>
              </w:rPr>
              <w:t>Χαλκοκονδύλη 30, 104 32 Αθήνα</w:t>
            </w:r>
          </w:p>
          <w:p w14:paraId="1842BEBD" w14:textId="77777777" w:rsidR="005D0D8C" w:rsidRPr="005D0D8C" w:rsidRDefault="005D0D8C">
            <w:pPr>
              <w:tabs>
                <w:tab w:val="left" w:pos="284"/>
              </w:tabs>
              <w:rPr>
                <w:rFonts w:ascii="Ping LCG Regular" w:hAnsi="Ping LCG Regular"/>
                <w:sz w:val="20"/>
                <w:szCs w:val="20"/>
                <w:lang w:val="el-GR"/>
              </w:rPr>
            </w:pPr>
            <w:r w:rsidRPr="005D0D8C">
              <w:rPr>
                <w:rFonts w:ascii="Ping LCG Regular" w:hAnsi="Ping LCG Regular"/>
                <w:sz w:val="20"/>
                <w:szCs w:val="20"/>
                <w:lang w:val="el-GR"/>
              </w:rPr>
              <w:t xml:space="preserve">Τ: </w:t>
            </w:r>
            <w:r w:rsidRPr="005D0D8C">
              <w:rPr>
                <w:rFonts w:ascii="Ping LCG Regular" w:hAnsi="Ping LCG Regular"/>
                <w:sz w:val="20"/>
                <w:szCs w:val="20"/>
                <w:lang w:val="el-GR"/>
              </w:rPr>
              <w:tab/>
              <w:t>+30 210 529 2153</w:t>
            </w:r>
          </w:p>
          <w:p w14:paraId="539C0F22"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lang w:val="el-GR"/>
              </w:rPr>
              <w:tab/>
            </w:r>
            <w:r w:rsidRPr="005D0D8C">
              <w:rPr>
                <w:rFonts w:ascii="Ping LCG Regular" w:hAnsi="Ping LCG Regular"/>
                <w:sz w:val="20"/>
                <w:szCs w:val="20"/>
              </w:rPr>
              <w:t>+30 210 529 3665</w:t>
            </w:r>
          </w:p>
          <w:p w14:paraId="24FD6737"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ab/>
              <w:t>+30 210 529 3207</w:t>
            </w:r>
          </w:p>
          <w:p w14:paraId="286D76FC" w14:textId="77777777" w:rsidR="005D0D8C" w:rsidRPr="005D0D8C" w:rsidRDefault="005B3641">
            <w:pPr>
              <w:pStyle w:val="DehPressRelease"/>
              <w:spacing w:after="0" w:line="240" w:lineRule="auto"/>
              <w:rPr>
                <w:rStyle w:val="Hyperlink"/>
                <w:sz w:val="20"/>
                <w:szCs w:val="20"/>
              </w:rPr>
            </w:pPr>
            <w:hyperlink r:id="rId12" w:history="1">
              <w:r w:rsidR="005D0D8C" w:rsidRPr="005D0D8C">
                <w:rPr>
                  <w:rStyle w:val="Hyperlink"/>
                  <w:sz w:val="20"/>
                  <w:szCs w:val="20"/>
                </w:rPr>
                <w:t>ir@ppcgroup.com</w:t>
              </w:r>
            </w:hyperlink>
          </w:p>
          <w:p w14:paraId="0A7A5866" w14:textId="77777777" w:rsidR="005D0D8C" w:rsidRPr="005D0D8C" w:rsidRDefault="005D0D8C">
            <w:pPr>
              <w:pStyle w:val="DehPressRelease"/>
              <w:spacing w:after="0" w:line="240" w:lineRule="auto"/>
              <w:rPr>
                <w:sz w:val="20"/>
                <w:szCs w:val="20"/>
                <w:lang w:val="en-US"/>
              </w:rPr>
            </w:pPr>
          </w:p>
        </w:tc>
        <w:tc>
          <w:tcPr>
            <w:tcW w:w="4318" w:type="dxa"/>
          </w:tcPr>
          <w:p w14:paraId="129DF309" w14:textId="3DB9AD5B" w:rsidR="005D0D8C" w:rsidRPr="000B4E8D" w:rsidRDefault="005D0D8C">
            <w:pPr>
              <w:tabs>
                <w:tab w:val="left" w:pos="284"/>
              </w:tabs>
              <w:rPr>
                <w:rFonts w:ascii="Ping LCG Regular" w:hAnsi="Ping LCG Regular"/>
                <w:sz w:val="20"/>
                <w:szCs w:val="20"/>
              </w:rPr>
            </w:pPr>
            <w:r w:rsidRPr="005D0D8C">
              <w:rPr>
                <w:rFonts w:ascii="Ping LCG Regular" w:hAnsi="Ping LCG Regular"/>
                <w:sz w:val="20"/>
                <w:szCs w:val="20"/>
              </w:rPr>
              <w:t>Media Relations</w:t>
            </w:r>
            <w:r w:rsidR="00296610" w:rsidRPr="00AD3009">
              <w:rPr>
                <w:rFonts w:ascii="Ping LCG Regular" w:hAnsi="Ping LCG Regular"/>
                <w:sz w:val="20"/>
                <w:szCs w:val="20"/>
              </w:rPr>
              <w:t xml:space="preserve"> </w:t>
            </w:r>
            <w:r w:rsidR="00296610">
              <w:rPr>
                <w:rFonts w:ascii="Ping LCG Regular" w:hAnsi="Ping LCG Regular"/>
                <w:sz w:val="20"/>
                <w:szCs w:val="20"/>
                <w:lang w:val="el-GR"/>
              </w:rPr>
              <w:t>Ομίλου</w:t>
            </w:r>
            <w:r w:rsidR="00296610" w:rsidRPr="00AD3009">
              <w:rPr>
                <w:rFonts w:ascii="Ping LCG Regular" w:hAnsi="Ping LCG Regular"/>
                <w:sz w:val="20"/>
                <w:szCs w:val="20"/>
              </w:rPr>
              <w:t xml:space="preserve"> </w:t>
            </w:r>
            <w:r w:rsidR="00296610">
              <w:rPr>
                <w:rFonts w:ascii="Ping LCG Regular" w:hAnsi="Ping LCG Regular"/>
                <w:sz w:val="20"/>
                <w:szCs w:val="20"/>
                <w:lang w:val="el-GR"/>
              </w:rPr>
              <w:t>ΔΕΗ</w:t>
            </w:r>
          </w:p>
          <w:p w14:paraId="508159AA"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Χα</w:t>
            </w:r>
            <w:proofErr w:type="spellStart"/>
            <w:r w:rsidRPr="005D0D8C">
              <w:rPr>
                <w:rFonts w:ascii="Ping LCG Regular" w:hAnsi="Ping LCG Regular"/>
                <w:sz w:val="20"/>
                <w:szCs w:val="20"/>
              </w:rPr>
              <w:t>λκοκονδύλη</w:t>
            </w:r>
            <w:proofErr w:type="spellEnd"/>
            <w:r w:rsidRPr="005D0D8C">
              <w:rPr>
                <w:rFonts w:ascii="Ping LCG Regular" w:hAnsi="Ping LCG Regular"/>
                <w:sz w:val="20"/>
                <w:szCs w:val="20"/>
              </w:rPr>
              <w:t xml:space="preserve"> 32, 104 32 </w:t>
            </w:r>
            <w:proofErr w:type="spellStart"/>
            <w:r w:rsidRPr="005D0D8C">
              <w:rPr>
                <w:rFonts w:ascii="Ping LCG Regular" w:hAnsi="Ping LCG Regular"/>
                <w:sz w:val="20"/>
                <w:szCs w:val="20"/>
              </w:rPr>
              <w:t>Αθήν</w:t>
            </w:r>
            <w:proofErr w:type="spellEnd"/>
            <w:r w:rsidRPr="005D0D8C">
              <w:rPr>
                <w:rFonts w:ascii="Ping LCG Regular" w:hAnsi="Ping LCG Regular"/>
                <w:sz w:val="20"/>
                <w:szCs w:val="20"/>
              </w:rPr>
              <w:t>α</w:t>
            </w:r>
          </w:p>
          <w:p w14:paraId="0D59ADD8"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Τ:</w:t>
            </w:r>
            <w:r w:rsidRPr="005D0D8C">
              <w:rPr>
                <w:rFonts w:ascii="Ping LCG Regular" w:hAnsi="Ping LCG Regular"/>
                <w:sz w:val="20"/>
                <w:szCs w:val="20"/>
              </w:rPr>
              <w:tab/>
              <w:t xml:space="preserve">+30 210 523 1807, </w:t>
            </w:r>
          </w:p>
          <w:p w14:paraId="446EFE33"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ab/>
              <w:t>+30 210 529 3404,</w:t>
            </w:r>
          </w:p>
          <w:p w14:paraId="711AD659"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 xml:space="preserve"> </w:t>
            </w:r>
            <w:r w:rsidRPr="005D0D8C">
              <w:rPr>
                <w:rFonts w:ascii="Ping LCG Regular" w:hAnsi="Ping LCG Regular"/>
                <w:sz w:val="20"/>
                <w:szCs w:val="20"/>
              </w:rPr>
              <w:tab/>
              <w:t>+30 697 270 7713</w:t>
            </w:r>
          </w:p>
          <w:p w14:paraId="2D9DFCC9" w14:textId="77777777" w:rsidR="005D0D8C" w:rsidRPr="005D0D8C" w:rsidRDefault="005B3641">
            <w:pPr>
              <w:tabs>
                <w:tab w:val="left" w:pos="284"/>
              </w:tabs>
              <w:rPr>
                <w:rFonts w:ascii="Ping LCG Regular" w:hAnsi="Ping LCG Regular"/>
                <w:sz w:val="20"/>
                <w:szCs w:val="20"/>
              </w:rPr>
            </w:pPr>
            <w:hyperlink r:id="rId13" w:history="1">
              <w:r w:rsidR="005D0D8C" w:rsidRPr="005D0D8C">
                <w:rPr>
                  <w:rStyle w:val="Hyperlink"/>
                  <w:rFonts w:ascii="Ping LCG Regular" w:hAnsi="Ping LCG Regular"/>
                  <w:sz w:val="20"/>
                  <w:szCs w:val="20"/>
                </w:rPr>
                <w:t>information@dei.gr</w:t>
              </w:r>
            </w:hyperlink>
            <w:r w:rsidR="005D0D8C" w:rsidRPr="005D0D8C">
              <w:rPr>
                <w:rFonts w:ascii="Ping LCG Regular" w:hAnsi="Ping LCG Regular"/>
                <w:sz w:val="20"/>
                <w:szCs w:val="20"/>
              </w:rPr>
              <w:t xml:space="preserve"> </w:t>
            </w:r>
          </w:p>
          <w:p w14:paraId="20F76697" w14:textId="77777777" w:rsidR="005D0D8C" w:rsidRPr="005D0D8C" w:rsidRDefault="005D0D8C">
            <w:pPr>
              <w:tabs>
                <w:tab w:val="left" w:pos="284"/>
              </w:tabs>
              <w:rPr>
                <w:rFonts w:ascii="Ping LCG Regular" w:hAnsi="Ping LCG Regular"/>
                <w:sz w:val="20"/>
                <w:szCs w:val="20"/>
              </w:rPr>
            </w:pPr>
            <w:r w:rsidRPr="005D0D8C">
              <w:rPr>
                <w:rFonts w:ascii="Ping LCG Regular" w:hAnsi="Ping LCG Regular"/>
                <w:sz w:val="20"/>
                <w:szCs w:val="20"/>
              </w:rPr>
              <w:t xml:space="preserve">ppcgroup.com </w:t>
            </w:r>
          </w:p>
        </w:tc>
      </w:tr>
    </w:tbl>
    <w:p w14:paraId="5A472DC7" w14:textId="77777777" w:rsidR="005D0D8C" w:rsidRPr="005D0D8C" w:rsidRDefault="005D0D8C" w:rsidP="005D0D8C">
      <w:pPr>
        <w:pStyle w:val="DehPressRelease"/>
        <w:spacing w:after="0" w:line="240" w:lineRule="auto"/>
        <w:jc w:val="both"/>
        <w:rPr>
          <w:b/>
          <w:bCs/>
          <w:sz w:val="20"/>
          <w:szCs w:val="20"/>
          <w:lang w:val="en-US"/>
        </w:rPr>
      </w:pPr>
    </w:p>
    <w:p w14:paraId="77B421FA" w14:textId="77777777" w:rsidR="005D0D8C" w:rsidRPr="005D0D8C" w:rsidRDefault="005D0D8C" w:rsidP="005D0D8C">
      <w:pPr>
        <w:jc w:val="both"/>
        <w:rPr>
          <w:rFonts w:ascii="Ping LCG Regular" w:hAnsi="Ping LCG Regular"/>
          <w:sz w:val="20"/>
          <w:szCs w:val="20"/>
          <w:lang w:val="el-GR"/>
        </w:rPr>
      </w:pPr>
      <w:r w:rsidRPr="005D0D8C">
        <w:rPr>
          <w:rFonts w:ascii="Ping LCG Regular" w:hAnsi="Ping LCG Regular"/>
          <w:sz w:val="20"/>
          <w:szCs w:val="20"/>
          <w:lang w:val="el-GR"/>
        </w:rPr>
        <w:t>Το Δελτίο Τύπου είναι διαθέσιμο στον διαδικτυακό τόπο της ΔΕΗ Α.Ε (</w:t>
      </w:r>
      <w:r w:rsidRPr="005D0D8C">
        <w:rPr>
          <w:rFonts w:ascii="Ping LCG Regular" w:hAnsi="Ping LCG Regular"/>
          <w:sz w:val="20"/>
          <w:szCs w:val="20"/>
        </w:rPr>
        <w:t>www</w:t>
      </w:r>
      <w:r w:rsidRPr="005D0D8C">
        <w:rPr>
          <w:rFonts w:ascii="Ping LCG Regular" w:hAnsi="Ping LCG Regular"/>
          <w:sz w:val="20"/>
          <w:szCs w:val="20"/>
          <w:lang w:val="el-GR"/>
        </w:rPr>
        <w:t>.</w:t>
      </w:r>
      <w:proofErr w:type="spellStart"/>
      <w:r w:rsidRPr="005D0D8C">
        <w:rPr>
          <w:rFonts w:ascii="Ping LCG Regular" w:hAnsi="Ping LCG Regular"/>
          <w:sz w:val="20"/>
          <w:szCs w:val="20"/>
        </w:rPr>
        <w:t>ppcgroup</w:t>
      </w:r>
      <w:proofErr w:type="spellEnd"/>
      <w:r w:rsidRPr="005D0D8C">
        <w:rPr>
          <w:rFonts w:ascii="Ping LCG Regular" w:hAnsi="Ping LCG Regular"/>
          <w:sz w:val="20"/>
          <w:szCs w:val="20"/>
          <w:lang w:val="el-GR"/>
        </w:rPr>
        <w:t>.</w:t>
      </w:r>
      <w:r w:rsidRPr="005D0D8C">
        <w:rPr>
          <w:rFonts w:ascii="Ping LCG Regular" w:hAnsi="Ping LCG Regular"/>
          <w:sz w:val="20"/>
          <w:szCs w:val="20"/>
        </w:rPr>
        <w:t>com</w:t>
      </w:r>
      <w:r w:rsidRPr="005D0D8C">
        <w:rPr>
          <w:rFonts w:ascii="Ping LCG Regular" w:hAnsi="Ping LCG Regular"/>
          <w:sz w:val="20"/>
          <w:szCs w:val="20"/>
          <w:lang w:val="el-GR"/>
        </w:rPr>
        <w:t>) στην ενότητα “Επενδυτικές Σχέσεις”.</w:t>
      </w:r>
    </w:p>
    <w:p w14:paraId="5488693B" w14:textId="77777777" w:rsidR="005D0D8C" w:rsidRPr="005D0D8C" w:rsidRDefault="005D0D8C" w:rsidP="005D0D8C">
      <w:pPr>
        <w:jc w:val="both"/>
        <w:rPr>
          <w:rFonts w:ascii="Ping LCG Regular" w:hAnsi="Ping LCG Regular"/>
          <w:sz w:val="20"/>
          <w:szCs w:val="20"/>
          <w:lang w:val="el-GR"/>
        </w:rPr>
      </w:pPr>
    </w:p>
    <w:p w14:paraId="1039EE8D" w14:textId="77777777" w:rsidR="005D0D8C" w:rsidRPr="005D0D8C" w:rsidRDefault="005D0D8C" w:rsidP="005D0D8C">
      <w:pPr>
        <w:jc w:val="both"/>
        <w:rPr>
          <w:rFonts w:ascii="Ping LCG Regular" w:hAnsi="Ping LCG Regular"/>
          <w:sz w:val="22"/>
          <w:szCs w:val="22"/>
          <w:lang w:val="el-GR"/>
        </w:rPr>
      </w:pPr>
    </w:p>
    <w:p w14:paraId="2944C43F" w14:textId="77777777" w:rsidR="005E2291" w:rsidRDefault="005E2291">
      <w:pPr>
        <w:rPr>
          <w:rFonts w:ascii="Ping LCG Regular" w:hAnsi="Ping LCG Regular"/>
          <w:b/>
          <w:bCs/>
          <w:sz w:val="20"/>
          <w:szCs w:val="20"/>
          <w:lang w:val="el-GR"/>
        </w:rPr>
      </w:pPr>
      <w:r>
        <w:rPr>
          <w:rFonts w:ascii="Ping LCG Regular" w:hAnsi="Ping LCG Regular"/>
          <w:b/>
          <w:bCs/>
          <w:sz w:val="20"/>
          <w:szCs w:val="20"/>
          <w:lang w:val="el-GR"/>
        </w:rPr>
        <w:br w:type="page"/>
      </w:r>
    </w:p>
    <w:p w14:paraId="19816334" w14:textId="5410F2F0" w:rsidR="005D0D8C" w:rsidRPr="005D0D8C" w:rsidRDefault="005D0D8C" w:rsidP="005D0D8C">
      <w:pPr>
        <w:spacing w:after="200" w:line="276" w:lineRule="auto"/>
        <w:jc w:val="both"/>
        <w:rPr>
          <w:rFonts w:ascii="Ping LCG Regular" w:hAnsi="Ping LCG Regular"/>
          <w:b/>
          <w:bCs/>
          <w:sz w:val="20"/>
          <w:szCs w:val="20"/>
          <w:lang w:val="el-GR"/>
        </w:rPr>
      </w:pPr>
      <w:r w:rsidRPr="005D0D8C">
        <w:rPr>
          <w:rFonts w:ascii="Ping LCG Regular" w:hAnsi="Ping LCG Regular"/>
          <w:b/>
          <w:bCs/>
          <w:sz w:val="20"/>
          <w:szCs w:val="20"/>
          <w:lang w:val="el-GR"/>
        </w:rPr>
        <w:lastRenderedPageBreak/>
        <w:t>Σχετικά με τη Δημόσια Επιχείρηση Ηλεκτρισμού Α.Ε.</w:t>
      </w:r>
    </w:p>
    <w:p w14:paraId="13C77C6A" w14:textId="1503F565" w:rsidR="005D0D8C" w:rsidRPr="005D0D8C" w:rsidRDefault="005D0D8C" w:rsidP="005D0D8C">
      <w:pPr>
        <w:spacing w:after="120"/>
        <w:jc w:val="both"/>
        <w:rPr>
          <w:rFonts w:ascii="Ping LCG Regular" w:hAnsi="Ping LCG Regular"/>
          <w:sz w:val="20"/>
          <w:szCs w:val="20"/>
          <w:lang w:val="el-GR"/>
        </w:rPr>
      </w:pPr>
      <w:r w:rsidRPr="005D0D8C">
        <w:rPr>
          <w:rFonts w:ascii="Ping LCG Regular" w:hAnsi="Ping LCG Regular"/>
          <w:sz w:val="20"/>
          <w:szCs w:val="20"/>
          <w:lang w:val="el-GR"/>
        </w:rPr>
        <w:t xml:space="preserve">Η </w:t>
      </w:r>
      <w:r w:rsidR="00EA1EAB">
        <w:rPr>
          <w:rFonts w:ascii="Ping LCG Regular" w:hAnsi="Ping LCG Regular"/>
          <w:sz w:val="20"/>
          <w:szCs w:val="20"/>
          <w:lang w:val="el-GR"/>
        </w:rPr>
        <w:t>ΔΕΗ</w:t>
      </w:r>
      <w:r w:rsidRPr="005D0D8C">
        <w:rPr>
          <w:rFonts w:ascii="Ping LCG Regular" w:hAnsi="Ping LCG Regular"/>
          <w:sz w:val="20"/>
          <w:szCs w:val="20"/>
          <w:lang w:val="el-GR"/>
        </w:rPr>
        <w:t xml:space="preserve"> είναι η κορυφαία εταιρεία ενέργειας στην Νοτιοανατολική Ευρώπη, με δραστηριότητες στην παραγωγή, διανομή, λειτουργία δικτύων  και  πώληση προηγμένων προϊόντων και υπηρεσιών ενέργειας στην Ελλάδα, την Ρουμανία και την Βόρεια Μακεδονία. </w:t>
      </w:r>
    </w:p>
    <w:p w14:paraId="66FC9CA9" w14:textId="77777777" w:rsidR="005D0D8C" w:rsidRPr="005D0D8C" w:rsidRDefault="005D0D8C" w:rsidP="005D0D8C">
      <w:pPr>
        <w:spacing w:after="120"/>
        <w:jc w:val="both"/>
        <w:rPr>
          <w:rFonts w:ascii="Ping LCG Regular" w:hAnsi="Ping LCG Regular"/>
          <w:sz w:val="20"/>
          <w:szCs w:val="20"/>
          <w:lang w:val="el-GR"/>
        </w:rPr>
      </w:pPr>
      <w:r w:rsidRPr="005D0D8C">
        <w:rPr>
          <w:rFonts w:ascii="Ping LCG Regular" w:hAnsi="Ping LCG Regular"/>
          <w:sz w:val="20"/>
          <w:szCs w:val="20"/>
          <w:lang w:val="el-GR"/>
        </w:rPr>
        <w:t xml:space="preserve">Το παραγωγικό δυναμικό της ΔΕΗ ανέρχεται σε 10,7GW, με θερμικούς, υδροηλεκτρικούς σταθμούς και εγκαταστάσεις Ανανεώσιμων Πηγών Ενέργειας με συνολική ετήσια παραγωγή ενέργειας μεγαλύτερη των 20TWh, ενώ στα δίκτυα διανομής, η συνολική Ρυθμιζόμενη Περιουσιακή Βάση  ανέρχεται σε περίπου €4,3 δισ. </w:t>
      </w:r>
    </w:p>
    <w:p w14:paraId="0412FB68" w14:textId="77777777" w:rsidR="005D0D8C" w:rsidRPr="005D0D8C" w:rsidRDefault="005D0D8C" w:rsidP="005D0D8C">
      <w:pPr>
        <w:spacing w:after="120"/>
        <w:jc w:val="both"/>
        <w:rPr>
          <w:rFonts w:ascii="Ping LCG Regular" w:hAnsi="Ping LCG Regular"/>
          <w:sz w:val="20"/>
          <w:szCs w:val="20"/>
          <w:lang w:val="el-GR"/>
        </w:rPr>
      </w:pPr>
      <w:r w:rsidRPr="005D0D8C">
        <w:rPr>
          <w:rFonts w:ascii="Ping LCG Regular" w:hAnsi="Ping LCG Regular"/>
          <w:sz w:val="20"/>
          <w:szCs w:val="20"/>
          <w:lang w:val="el-GR"/>
        </w:rPr>
        <w:t>Ο Όμιλος ΔΕΗ αποτελεί τον  μεγαλύτερο προμηθευτή ηλεκτρικής ενέργειας στην Ελλάδα και τη Ρουμανία, εξυπηρετώντας 8,7 εκατ. πελάτες στους οποίους παρέχει περίπου 35TWh</w:t>
      </w:r>
      <w:r w:rsidRPr="005D0D8C">
        <w:rPr>
          <w:rFonts w:ascii="Ping LCG Regular" w:hAnsi="Ping LCG Regular"/>
          <w:color w:val="FF0000"/>
          <w:sz w:val="20"/>
          <w:szCs w:val="20"/>
          <w:lang w:val="el-GR"/>
        </w:rPr>
        <w:t xml:space="preserve"> </w:t>
      </w:r>
      <w:r w:rsidRPr="005D0D8C">
        <w:rPr>
          <w:rFonts w:ascii="Ping LCG Regular" w:hAnsi="Ping LCG Regular"/>
          <w:sz w:val="20"/>
          <w:szCs w:val="20"/>
          <w:lang w:val="el-GR"/>
        </w:rPr>
        <w:t xml:space="preserve">ενέργειας και μία ευρεία σειρά ενεργειακών προϊόντων και υπηρεσιών. </w:t>
      </w:r>
    </w:p>
    <w:p w14:paraId="6743697E" w14:textId="77777777" w:rsidR="005D0D8C" w:rsidRPr="005D0D8C" w:rsidRDefault="005D0D8C" w:rsidP="005D0D8C">
      <w:pPr>
        <w:spacing w:after="120"/>
        <w:jc w:val="both"/>
        <w:rPr>
          <w:rFonts w:ascii="Ping LCG Regular" w:hAnsi="Ping LCG Regular"/>
          <w:sz w:val="20"/>
          <w:szCs w:val="20"/>
          <w:lang w:val="el-GR"/>
        </w:rPr>
      </w:pPr>
      <w:r w:rsidRPr="005D0D8C">
        <w:rPr>
          <w:rFonts w:ascii="Ping LCG Regular" w:hAnsi="Ping LCG Regular"/>
          <w:sz w:val="20"/>
          <w:szCs w:val="20"/>
          <w:lang w:val="el-GR"/>
        </w:rPr>
        <w:t>Η ΔΕΗ ιδρύθηκε το 1950 και είναι εισηγμένη στο Χρηματιστήριο Αθηνών από το 2001.</w:t>
      </w:r>
    </w:p>
    <w:p w14:paraId="20330721" w14:textId="77777777" w:rsidR="005D0D8C" w:rsidRPr="005D0D8C" w:rsidRDefault="005D0D8C" w:rsidP="005D0D8C">
      <w:pPr>
        <w:jc w:val="both"/>
        <w:rPr>
          <w:rFonts w:ascii="Ping LCG Regular" w:hAnsi="Ping LCG Regular"/>
          <w:sz w:val="22"/>
          <w:szCs w:val="22"/>
          <w:lang w:val="el-GR"/>
        </w:rPr>
      </w:pPr>
    </w:p>
    <w:p w14:paraId="60A5363B" w14:textId="77777777" w:rsidR="005D0D8C" w:rsidRPr="005D0D8C" w:rsidRDefault="005D0D8C" w:rsidP="005D0D8C">
      <w:pPr>
        <w:jc w:val="both"/>
        <w:rPr>
          <w:rFonts w:ascii="Ping LCG Regular" w:hAnsi="Ping LCG Regular"/>
          <w:sz w:val="22"/>
          <w:szCs w:val="22"/>
          <w:lang w:val="el-GR"/>
        </w:rPr>
      </w:pPr>
    </w:p>
    <w:p w14:paraId="3D1E6CF2" w14:textId="77777777" w:rsidR="005D0D8C" w:rsidRPr="00B37766" w:rsidRDefault="005D0D8C" w:rsidP="005D0D8C">
      <w:pPr>
        <w:jc w:val="both"/>
        <w:rPr>
          <w:rFonts w:ascii="Ping LCG Regular" w:hAnsi="Ping LCG Regular"/>
          <w:b/>
          <w:bCs/>
          <w:sz w:val="18"/>
          <w:szCs w:val="18"/>
          <w:lang w:val="el-GR"/>
        </w:rPr>
      </w:pPr>
      <w:r w:rsidRPr="00B37766">
        <w:rPr>
          <w:rFonts w:ascii="Ping LCG Regular" w:hAnsi="Ping LCG Regular"/>
          <w:b/>
          <w:bCs/>
          <w:sz w:val="18"/>
          <w:szCs w:val="18"/>
          <w:lang w:val="el-GR"/>
        </w:rPr>
        <w:t>Δήλωση αποποίησης ευθύνης</w:t>
      </w:r>
    </w:p>
    <w:p w14:paraId="53464EE3" w14:textId="77777777" w:rsidR="005D0D8C" w:rsidRPr="00B37766" w:rsidRDefault="005D0D8C" w:rsidP="005D0D8C">
      <w:pPr>
        <w:jc w:val="both"/>
        <w:rPr>
          <w:rFonts w:ascii="Ping LCG Regular" w:hAnsi="Ping LCG Regular"/>
          <w:sz w:val="18"/>
          <w:szCs w:val="18"/>
          <w:lang w:val="el-GR"/>
        </w:rPr>
      </w:pPr>
      <w:r w:rsidRPr="00B37766">
        <w:rPr>
          <w:rFonts w:ascii="Ping LCG Regular" w:hAnsi="Ping LCG Regular"/>
          <w:sz w:val="18"/>
          <w:szCs w:val="18"/>
          <w:lang w:val="el-GR"/>
        </w:rPr>
        <w:t>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w:t>
      </w:r>
    </w:p>
    <w:p w14:paraId="4FC09E5E" w14:textId="77777777" w:rsidR="00A94B7A" w:rsidRPr="00B37766" w:rsidRDefault="00A94B7A" w:rsidP="005D0D8C">
      <w:pPr>
        <w:jc w:val="both"/>
        <w:rPr>
          <w:rFonts w:ascii="Ping LCG Regular" w:hAnsi="Ping LCG Regular"/>
          <w:sz w:val="18"/>
          <w:szCs w:val="18"/>
          <w:lang w:val="el-GR"/>
        </w:rPr>
      </w:pPr>
    </w:p>
    <w:p w14:paraId="4B4D4589" w14:textId="77777777" w:rsidR="005D0D8C" w:rsidRPr="00B37766" w:rsidRDefault="005D0D8C" w:rsidP="005D0D8C">
      <w:pPr>
        <w:jc w:val="both"/>
        <w:rPr>
          <w:rFonts w:ascii="Ping LCG Regular" w:hAnsi="Ping LCG Regular"/>
          <w:sz w:val="18"/>
          <w:szCs w:val="18"/>
          <w:lang w:val="el-GR"/>
        </w:rPr>
      </w:pPr>
      <w:r w:rsidRPr="00B37766">
        <w:rPr>
          <w:rFonts w:ascii="Ping LCG Regular" w:hAnsi="Ping LCG Regular"/>
          <w:sz w:val="18"/>
          <w:szCs w:val="18"/>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proofErr w:type="spellStart"/>
      <w:r w:rsidRPr="00B37766">
        <w:rPr>
          <w:rFonts w:ascii="Ping LCG Regular" w:hAnsi="Ping LCG Regular"/>
          <w:sz w:val="18"/>
          <w:szCs w:val="18"/>
          <w:lang w:val="el-GR"/>
        </w:rPr>
        <w:t>ii</w:t>
      </w:r>
      <w:proofErr w:type="spellEnd"/>
      <w:r w:rsidRPr="00B37766">
        <w:rPr>
          <w:rFonts w:ascii="Ping LCG Regular" w:hAnsi="Ping LCG Regular"/>
          <w:sz w:val="18"/>
          <w:szCs w:val="18"/>
          <w:lang w:val="el-GR"/>
        </w:rPr>
        <w:t xml:space="preserve">) στις μακροοικονομικές συνθήκες, </w:t>
      </w:r>
      <w:proofErr w:type="spellStart"/>
      <w:r w:rsidRPr="00B37766">
        <w:rPr>
          <w:rFonts w:ascii="Ping LCG Regular" w:hAnsi="Ping LCG Regular"/>
          <w:sz w:val="18"/>
          <w:szCs w:val="18"/>
          <w:lang w:val="el-GR"/>
        </w:rPr>
        <w:t>iii</w:t>
      </w:r>
      <w:proofErr w:type="spellEnd"/>
      <w:r w:rsidRPr="00B37766">
        <w:rPr>
          <w:rFonts w:ascii="Ping LCG Regular" w:hAnsi="Ping LCG Regular"/>
          <w:sz w:val="18"/>
          <w:szCs w:val="18"/>
          <w:lang w:val="el-GR"/>
        </w:rPr>
        <w:t xml:space="preserve">) στη </w:t>
      </w:r>
      <w:r w:rsidRPr="00B37766">
        <w:rPr>
          <w:rFonts w:ascii="Ping LCG Regular" w:hAnsi="Ping LCG Regular"/>
          <w:color w:val="000000" w:themeColor="text1"/>
          <w:sz w:val="18"/>
          <w:szCs w:val="18"/>
          <w:lang w:val="el-GR"/>
        </w:rPr>
        <w:t xml:space="preserve">διακύμανση του ευρώ έναντι των συναλλαγματικών ισοτιμιών του δολαρίου ΗΠΑ και του </w:t>
      </w:r>
      <w:r w:rsidRPr="00B37766">
        <w:rPr>
          <w:rFonts w:ascii="Ping LCG Regular" w:hAnsi="Ping LCG Regular"/>
          <w:color w:val="000000" w:themeColor="text1"/>
          <w:sz w:val="18"/>
          <w:szCs w:val="18"/>
        </w:rPr>
        <w:t>LEU</w:t>
      </w:r>
      <w:r w:rsidRPr="00B37766">
        <w:rPr>
          <w:rFonts w:ascii="Ping LCG Regular" w:hAnsi="Ping LCG Regular"/>
          <w:color w:val="000000" w:themeColor="text1"/>
          <w:sz w:val="18"/>
          <w:szCs w:val="18"/>
          <w:lang w:val="el-GR"/>
        </w:rPr>
        <w:t xml:space="preserve"> Ρουμανίας, </w:t>
      </w:r>
      <w:proofErr w:type="spellStart"/>
      <w:r w:rsidRPr="00B37766">
        <w:rPr>
          <w:rFonts w:ascii="Ping LCG Regular" w:hAnsi="Ping LCG Regular"/>
          <w:color w:val="000000" w:themeColor="text1"/>
          <w:sz w:val="18"/>
          <w:szCs w:val="18"/>
          <w:lang w:val="el-GR"/>
        </w:rPr>
        <w:t>iv</w:t>
      </w:r>
      <w:proofErr w:type="spellEnd"/>
      <w:r w:rsidRPr="00B37766">
        <w:rPr>
          <w:rFonts w:ascii="Ping LCG Regular" w:hAnsi="Ping LCG Regular"/>
          <w:color w:val="000000" w:themeColor="text1"/>
          <w:sz w:val="18"/>
          <w:szCs w:val="18"/>
          <w:lang w:val="el-GR"/>
        </w:rPr>
        <w:t>) στις τιμές πετρελαίου</w:t>
      </w:r>
      <w:r w:rsidRPr="00B37766">
        <w:rPr>
          <w:rFonts w:ascii="Ping LCG Regular" w:hAnsi="Ping LCG Regular"/>
          <w:sz w:val="18"/>
          <w:szCs w:val="18"/>
          <w:lang w:val="el-GR"/>
        </w:rPr>
        <w:t>, φυσικού αερίου και ηλεκτρικής ενέργειας και στην τιμή των δικαιωμάτων εκπομπών CO</w:t>
      </w:r>
      <w:r w:rsidRPr="00B37766">
        <w:rPr>
          <w:rFonts w:ascii="Ping LCG Regular" w:hAnsi="Ping LCG Regular"/>
          <w:sz w:val="18"/>
          <w:szCs w:val="18"/>
          <w:vertAlign w:val="subscript"/>
          <w:lang w:val="el-GR"/>
        </w:rPr>
        <w:t>2</w:t>
      </w:r>
      <w:r w:rsidRPr="00B37766">
        <w:rPr>
          <w:rFonts w:ascii="Ping LCG Regular" w:hAnsi="Ping LCG Regular"/>
          <w:sz w:val="18"/>
          <w:szCs w:val="18"/>
          <w:lang w:val="el-GR"/>
        </w:rPr>
        <w:t xml:space="preserve">, v) στις αλλαγές του τοπίου της αγοράς και του νομικού, κανονιστικού, φορολογικού και δημοσιονομικού τοπίου, </w:t>
      </w:r>
      <w:proofErr w:type="spellStart"/>
      <w:r w:rsidRPr="00B37766">
        <w:rPr>
          <w:rFonts w:ascii="Ping LCG Regular" w:hAnsi="Ping LCG Regular"/>
          <w:sz w:val="18"/>
          <w:szCs w:val="18"/>
          <w:lang w:val="el-GR"/>
        </w:rPr>
        <w:t>vi</w:t>
      </w:r>
      <w:proofErr w:type="spellEnd"/>
      <w:r w:rsidRPr="00B37766">
        <w:rPr>
          <w:rFonts w:ascii="Ping LCG Regular" w:hAnsi="Ping LCG Regular"/>
          <w:sz w:val="18"/>
          <w:szCs w:val="18"/>
          <w:lang w:val="el-GR"/>
        </w:rPr>
        <w:t xml:space="preserve">) στην εξέλιξη του επισφαλούς χρέους, και </w:t>
      </w:r>
      <w:proofErr w:type="spellStart"/>
      <w:r w:rsidRPr="00B37766">
        <w:rPr>
          <w:rFonts w:ascii="Ping LCG Regular" w:hAnsi="Ping LCG Regular"/>
          <w:sz w:val="18"/>
          <w:szCs w:val="18"/>
          <w:lang w:val="el-GR"/>
        </w:rPr>
        <w:t>vii</w:t>
      </w:r>
      <w:proofErr w:type="spellEnd"/>
      <w:r w:rsidRPr="00B37766">
        <w:rPr>
          <w:rFonts w:ascii="Ping LCG Regular" w:hAnsi="Ping LCG Regular"/>
          <w:sz w:val="18"/>
          <w:szCs w:val="18"/>
          <w:lang w:val="el-GR"/>
        </w:rPr>
        <w:t xml:space="preserve">)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ανακοίνωση. Ως εκ τούτου, δεν θα πρέπει να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6D0C28A1" w14:textId="77777777" w:rsidR="00A94B7A" w:rsidRPr="00B37766" w:rsidRDefault="00A94B7A" w:rsidP="005D0D8C">
      <w:pPr>
        <w:jc w:val="both"/>
        <w:rPr>
          <w:rFonts w:ascii="Ping LCG Regular" w:hAnsi="Ping LCG Regular"/>
          <w:sz w:val="18"/>
          <w:szCs w:val="18"/>
          <w:lang w:val="el-GR"/>
        </w:rPr>
      </w:pPr>
    </w:p>
    <w:p w14:paraId="0B725D0F" w14:textId="2F38ADAF" w:rsidR="00974739" w:rsidRPr="00B37766" w:rsidRDefault="005D0D8C" w:rsidP="00A9563C">
      <w:pPr>
        <w:jc w:val="both"/>
        <w:rPr>
          <w:rFonts w:ascii="Ping LCG Regular" w:hAnsi="Ping LCG Regular"/>
          <w:sz w:val="18"/>
          <w:szCs w:val="18"/>
          <w:lang w:val="el-GR"/>
        </w:rPr>
      </w:pPr>
      <w:r w:rsidRPr="00B37766">
        <w:rPr>
          <w:rFonts w:ascii="Ping LCG Regular" w:hAnsi="Ping LCG Regular"/>
          <w:sz w:val="18"/>
          <w:szCs w:val="18"/>
          <w:lang w:val="el-GR"/>
        </w:rPr>
        <w:t>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w:t>
      </w:r>
    </w:p>
    <w:p w14:paraId="7942BF22" w14:textId="77777777" w:rsidR="00974739" w:rsidRPr="005D0D8C" w:rsidRDefault="00974739" w:rsidP="00A9563C">
      <w:pPr>
        <w:jc w:val="both"/>
        <w:rPr>
          <w:rFonts w:ascii="Ping LCG Regular" w:hAnsi="Ping LCG Regular"/>
          <w:color w:val="FF0000"/>
          <w:sz w:val="20"/>
          <w:szCs w:val="20"/>
          <w:lang w:val="el-GR"/>
        </w:rPr>
      </w:pPr>
    </w:p>
    <w:p w14:paraId="109B1C85" w14:textId="77777777" w:rsidR="007F1E59" w:rsidRPr="005D0D8C" w:rsidRDefault="007F1E59">
      <w:pPr>
        <w:rPr>
          <w:rFonts w:ascii="Ping LCG Regular" w:hAnsi="Ping LCG Regular"/>
          <w:b/>
          <w:bCs/>
          <w:color w:val="FF0000"/>
          <w:sz w:val="20"/>
          <w:szCs w:val="20"/>
          <w:lang w:val="el-GR"/>
        </w:rPr>
      </w:pPr>
      <w:r w:rsidRPr="005D0D8C">
        <w:rPr>
          <w:rFonts w:ascii="Ping LCG Regular" w:hAnsi="Ping LCG Regular"/>
          <w:b/>
          <w:bCs/>
          <w:color w:val="FF0000"/>
          <w:sz w:val="20"/>
          <w:szCs w:val="20"/>
          <w:lang w:val="el-GR"/>
        </w:rPr>
        <w:br w:type="page"/>
      </w:r>
    </w:p>
    <w:p w14:paraId="085A3121" w14:textId="77777777" w:rsidR="00E40D0C" w:rsidRPr="008D2CF0" w:rsidRDefault="00E40D0C" w:rsidP="00E40D0C">
      <w:pPr>
        <w:jc w:val="both"/>
        <w:rPr>
          <w:rFonts w:ascii="Ping LCG Regular" w:hAnsi="Ping LCG Regular"/>
          <w:b/>
          <w:bCs/>
          <w:sz w:val="20"/>
          <w:szCs w:val="20"/>
          <w:lang w:val="el-GR"/>
        </w:rPr>
      </w:pPr>
      <w:r w:rsidRPr="008D2CF0">
        <w:rPr>
          <w:rFonts w:ascii="Ping LCG Regular" w:hAnsi="Ping LCG Regular"/>
          <w:b/>
          <w:bCs/>
          <w:sz w:val="20"/>
          <w:szCs w:val="20"/>
          <w:lang w:val="el-GR"/>
        </w:rPr>
        <w:lastRenderedPageBreak/>
        <w:t>ΠΑΡΑΡΤΗΜΑ – ΣΥΝΟΠΤΙΚΕΣ ΕΝΟΠΟΙΗΜΕΝΕΣ ΟΙΚΟΝΟΜΙΚΕΣ ΚΑΤΑΣΤΑΣΕΙΣ</w:t>
      </w:r>
    </w:p>
    <w:p w14:paraId="071B7192" w14:textId="77777777" w:rsidR="00E40D0C" w:rsidRPr="008D2CF0" w:rsidRDefault="00E40D0C" w:rsidP="00E40D0C">
      <w:pPr>
        <w:jc w:val="both"/>
        <w:rPr>
          <w:rFonts w:ascii="Ping LCG Regular" w:hAnsi="Ping LCG Regular"/>
          <w:b/>
          <w:bCs/>
          <w:sz w:val="20"/>
          <w:szCs w:val="20"/>
          <w:lang w:val="el-GR"/>
        </w:rPr>
      </w:pPr>
    </w:p>
    <w:p w14:paraId="42E09274" w14:textId="77777777" w:rsidR="00E40D0C" w:rsidRPr="008D2CF0" w:rsidRDefault="00E40D0C" w:rsidP="00E40D0C">
      <w:pPr>
        <w:jc w:val="both"/>
        <w:rPr>
          <w:rFonts w:ascii="Ping LCG Regular" w:hAnsi="Ping LCG Regular"/>
          <w:b/>
          <w:sz w:val="20"/>
          <w:szCs w:val="20"/>
          <w:lang w:val="el-GR"/>
        </w:rPr>
      </w:pPr>
      <w:r w:rsidRPr="008D2CF0">
        <w:rPr>
          <w:rFonts w:ascii="Ping LCG Regular" w:hAnsi="Ping LCG Regular"/>
          <w:b/>
          <w:sz w:val="20"/>
          <w:szCs w:val="20"/>
          <w:lang w:val="el-GR"/>
        </w:rPr>
        <w:t xml:space="preserve">Ενοποιημένη Κατάσταση  Χρηματοοικονομικής Θέσης (Συνοπτική) </w:t>
      </w:r>
    </w:p>
    <w:p w14:paraId="3C5F509F" w14:textId="77777777" w:rsidR="00E40D0C" w:rsidRPr="008D2CF0" w:rsidRDefault="00E40D0C" w:rsidP="00E40D0C">
      <w:pPr>
        <w:jc w:val="both"/>
        <w:rPr>
          <w:rFonts w:ascii="Ping LCG Regular" w:hAnsi="Ping LCG Regular"/>
          <w:b/>
          <w:sz w:val="20"/>
          <w:szCs w:val="20"/>
          <w:lang w:val="el-GR"/>
        </w:rPr>
      </w:pPr>
    </w:p>
    <w:p w14:paraId="7173561D" w14:textId="77777777" w:rsidR="00D81867" w:rsidRPr="008D2CF0" w:rsidRDefault="00D81867" w:rsidP="003A3F7A">
      <w:pPr>
        <w:jc w:val="both"/>
        <w:rPr>
          <w:rFonts w:ascii="Ping LCG Regular" w:hAnsi="Ping LCG Regular"/>
          <w:b/>
          <w:sz w:val="20"/>
          <w:szCs w:val="20"/>
          <w:lang w:val="el-GR"/>
        </w:rPr>
      </w:pPr>
    </w:p>
    <w:p w14:paraId="40F3996E" w14:textId="0E51B1C1" w:rsidR="003A3F7A" w:rsidRPr="00B37766" w:rsidRDefault="00CF6C8C" w:rsidP="003A3F7A">
      <w:pPr>
        <w:jc w:val="both"/>
        <w:rPr>
          <w:rFonts w:ascii="Ping LCG Regular" w:hAnsi="Ping LCG Regular"/>
          <w:b/>
          <w:sz w:val="20"/>
          <w:szCs w:val="20"/>
        </w:rPr>
      </w:pPr>
      <w:r w:rsidRPr="00CF6C8C">
        <w:drawing>
          <wp:inline distT="0" distB="0" distL="0" distR="0" wp14:anchorId="470B8A6C" wp14:editId="6AE80E2C">
            <wp:extent cx="5490210" cy="4642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210" cy="4642485"/>
                    </a:xfrm>
                    <a:prstGeom prst="rect">
                      <a:avLst/>
                    </a:prstGeom>
                    <a:noFill/>
                    <a:ln>
                      <a:noFill/>
                    </a:ln>
                  </pic:spPr>
                </pic:pic>
              </a:graphicData>
            </a:graphic>
          </wp:inline>
        </w:drawing>
      </w:r>
    </w:p>
    <w:p w14:paraId="3DE79203" w14:textId="0F63D673" w:rsidR="003A3F7A" w:rsidRPr="00E40D0C" w:rsidRDefault="003A3F7A" w:rsidP="00A9563C">
      <w:pPr>
        <w:jc w:val="both"/>
        <w:rPr>
          <w:noProof/>
          <w:highlight w:val="cyan"/>
          <w:lang w:val="el-GR"/>
        </w:rPr>
      </w:pPr>
    </w:p>
    <w:p w14:paraId="7F34F658" w14:textId="53F41A71" w:rsidR="00C410BC" w:rsidRPr="00E3332E" w:rsidRDefault="00C410BC" w:rsidP="00A9563C">
      <w:pPr>
        <w:jc w:val="both"/>
        <w:rPr>
          <w:rFonts w:ascii="Ping LCG Regular" w:hAnsi="Ping LCG Regular"/>
          <w:sz w:val="20"/>
          <w:szCs w:val="20"/>
          <w:highlight w:val="cyan"/>
          <w:lang w:val="el-GR"/>
        </w:rPr>
      </w:pPr>
    </w:p>
    <w:p w14:paraId="50854817" w14:textId="77777777" w:rsidR="00757184" w:rsidRPr="00E3332E" w:rsidRDefault="00757184" w:rsidP="00A9563C">
      <w:pPr>
        <w:jc w:val="both"/>
        <w:rPr>
          <w:rFonts w:ascii="Ping LCG Regular" w:hAnsi="Ping LCG Regular"/>
          <w:sz w:val="20"/>
          <w:szCs w:val="20"/>
          <w:highlight w:val="cyan"/>
          <w:lang w:val="el-GR"/>
        </w:rPr>
      </w:pPr>
    </w:p>
    <w:p w14:paraId="500810DB" w14:textId="77777777" w:rsidR="003A3F7A" w:rsidRPr="00E3332E" w:rsidRDefault="003A3F7A" w:rsidP="00757184">
      <w:pPr>
        <w:jc w:val="both"/>
        <w:rPr>
          <w:rFonts w:ascii="Ping LCG Regular" w:hAnsi="Ping LCG Regular"/>
          <w:b/>
          <w:sz w:val="20"/>
          <w:szCs w:val="20"/>
          <w:highlight w:val="cyan"/>
          <w:lang w:val="el-GR"/>
        </w:rPr>
      </w:pPr>
    </w:p>
    <w:p w14:paraId="7E141462" w14:textId="77777777" w:rsidR="003A3F7A" w:rsidRPr="00E3332E" w:rsidRDefault="003A3F7A" w:rsidP="00757184">
      <w:pPr>
        <w:jc w:val="both"/>
        <w:rPr>
          <w:rFonts w:ascii="Ping LCG Regular" w:hAnsi="Ping LCG Regular"/>
          <w:b/>
          <w:sz w:val="20"/>
          <w:szCs w:val="20"/>
          <w:highlight w:val="cyan"/>
          <w:lang w:val="el-GR"/>
        </w:rPr>
      </w:pPr>
    </w:p>
    <w:p w14:paraId="4E400633" w14:textId="77777777" w:rsidR="003A3F7A" w:rsidRPr="00E3332E" w:rsidRDefault="003A3F7A" w:rsidP="00757184">
      <w:pPr>
        <w:jc w:val="both"/>
        <w:rPr>
          <w:rFonts w:ascii="Ping LCG Regular" w:hAnsi="Ping LCG Regular"/>
          <w:b/>
          <w:sz w:val="20"/>
          <w:szCs w:val="20"/>
          <w:highlight w:val="cyan"/>
          <w:lang w:val="el-GR"/>
        </w:rPr>
      </w:pPr>
    </w:p>
    <w:p w14:paraId="2A160DC8" w14:textId="77777777" w:rsidR="003A3F7A" w:rsidRPr="00E3332E" w:rsidRDefault="003A3F7A" w:rsidP="00757184">
      <w:pPr>
        <w:jc w:val="both"/>
        <w:rPr>
          <w:rFonts w:ascii="Ping LCG Regular" w:hAnsi="Ping LCG Regular"/>
          <w:b/>
          <w:sz w:val="20"/>
          <w:szCs w:val="20"/>
          <w:highlight w:val="cyan"/>
          <w:lang w:val="el-GR"/>
        </w:rPr>
      </w:pPr>
    </w:p>
    <w:p w14:paraId="5681E9D2" w14:textId="77777777" w:rsidR="003A3F7A" w:rsidRPr="00E3332E" w:rsidRDefault="003A3F7A" w:rsidP="00757184">
      <w:pPr>
        <w:jc w:val="both"/>
        <w:rPr>
          <w:rFonts w:ascii="Ping LCG Regular" w:hAnsi="Ping LCG Regular"/>
          <w:b/>
          <w:sz w:val="20"/>
          <w:szCs w:val="20"/>
          <w:highlight w:val="cyan"/>
          <w:lang w:val="el-GR"/>
        </w:rPr>
      </w:pPr>
    </w:p>
    <w:p w14:paraId="3E64703C" w14:textId="77777777" w:rsidR="003A3F7A" w:rsidRPr="00E3332E" w:rsidRDefault="003A3F7A" w:rsidP="00757184">
      <w:pPr>
        <w:jc w:val="both"/>
        <w:rPr>
          <w:rFonts w:ascii="Ping LCG Regular" w:hAnsi="Ping LCG Regular"/>
          <w:b/>
          <w:sz w:val="20"/>
          <w:szCs w:val="20"/>
          <w:highlight w:val="cyan"/>
          <w:lang w:val="el-GR"/>
        </w:rPr>
      </w:pPr>
    </w:p>
    <w:p w14:paraId="603A5009" w14:textId="77777777" w:rsidR="003A3F7A" w:rsidRPr="00E3332E" w:rsidRDefault="003A3F7A" w:rsidP="00757184">
      <w:pPr>
        <w:jc w:val="both"/>
        <w:rPr>
          <w:rFonts w:ascii="Ping LCG Regular" w:hAnsi="Ping LCG Regular"/>
          <w:b/>
          <w:sz w:val="20"/>
          <w:szCs w:val="20"/>
          <w:highlight w:val="cyan"/>
          <w:lang w:val="el-GR"/>
        </w:rPr>
      </w:pPr>
    </w:p>
    <w:p w14:paraId="5989CDF7" w14:textId="77777777" w:rsidR="003A3F7A" w:rsidRPr="00E3332E" w:rsidRDefault="003A3F7A" w:rsidP="00757184">
      <w:pPr>
        <w:jc w:val="both"/>
        <w:rPr>
          <w:rFonts w:ascii="Ping LCG Regular" w:hAnsi="Ping LCG Regular"/>
          <w:b/>
          <w:sz w:val="20"/>
          <w:szCs w:val="20"/>
          <w:highlight w:val="cyan"/>
          <w:lang w:val="el-GR"/>
        </w:rPr>
      </w:pPr>
    </w:p>
    <w:p w14:paraId="63B22181" w14:textId="77777777" w:rsidR="003A3F7A" w:rsidRPr="00E3332E" w:rsidRDefault="003A3F7A" w:rsidP="00757184">
      <w:pPr>
        <w:jc w:val="both"/>
        <w:rPr>
          <w:rFonts w:ascii="Ping LCG Regular" w:hAnsi="Ping LCG Regular"/>
          <w:b/>
          <w:sz w:val="20"/>
          <w:szCs w:val="20"/>
          <w:highlight w:val="cyan"/>
          <w:lang w:val="el-GR"/>
        </w:rPr>
      </w:pPr>
    </w:p>
    <w:p w14:paraId="29605677" w14:textId="77777777" w:rsidR="003A3F7A" w:rsidRPr="00E3332E" w:rsidRDefault="003A3F7A" w:rsidP="00757184">
      <w:pPr>
        <w:jc w:val="both"/>
        <w:rPr>
          <w:rFonts w:ascii="Ping LCG Regular" w:hAnsi="Ping LCG Regular"/>
          <w:b/>
          <w:sz w:val="20"/>
          <w:szCs w:val="20"/>
          <w:highlight w:val="cyan"/>
          <w:lang w:val="el-GR"/>
        </w:rPr>
      </w:pPr>
    </w:p>
    <w:p w14:paraId="444BB705" w14:textId="77777777" w:rsidR="003A3F7A" w:rsidRPr="00E3332E" w:rsidRDefault="003A3F7A" w:rsidP="00757184">
      <w:pPr>
        <w:jc w:val="both"/>
        <w:rPr>
          <w:rFonts w:ascii="Ping LCG Regular" w:hAnsi="Ping LCG Regular"/>
          <w:b/>
          <w:sz w:val="20"/>
          <w:szCs w:val="20"/>
          <w:highlight w:val="cyan"/>
          <w:lang w:val="el-GR"/>
        </w:rPr>
      </w:pPr>
    </w:p>
    <w:p w14:paraId="0265C231" w14:textId="77777777" w:rsidR="003A3F7A" w:rsidRPr="00E3332E" w:rsidRDefault="003A3F7A" w:rsidP="00757184">
      <w:pPr>
        <w:jc w:val="both"/>
        <w:rPr>
          <w:rFonts w:ascii="Ping LCG Regular" w:hAnsi="Ping LCG Regular"/>
          <w:b/>
          <w:sz w:val="20"/>
          <w:szCs w:val="20"/>
          <w:highlight w:val="cyan"/>
          <w:lang w:val="el-GR"/>
        </w:rPr>
      </w:pPr>
    </w:p>
    <w:p w14:paraId="289723B2" w14:textId="77777777" w:rsidR="003A3F7A" w:rsidRPr="00E3332E" w:rsidRDefault="003A3F7A" w:rsidP="00757184">
      <w:pPr>
        <w:jc w:val="both"/>
        <w:rPr>
          <w:rFonts w:ascii="Ping LCG Regular" w:hAnsi="Ping LCG Regular"/>
          <w:b/>
          <w:sz w:val="20"/>
          <w:szCs w:val="20"/>
          <w:highlight w:val="cyan"/>
          <w:lang w:val="el-GR"/>
        </w:rPr>
      </w:pPr>
    </w:p>
    <w:p w14:paraId="661AF875" w14:textId="77777777" w:rsidR="003A3F7A" w:rsidRPr="00E3332E" w:rsidRDefault="003A3F7A" w:rsidP="00757184">
      <w:pPr>
        <w:jc w:val="both"/>
        <w:rPr>
          <w:rFonts w:ascii="Ping LCG Regular" w:hAnsi="Ping LCG Regular"/>
          <w:b/>
          <w:sz w:val="20"/>
          <w:szCs w:val="20"/>
          <w:highlight w:val="cyan"/>
          <w:lang w:val="el-GR"/>
        </w:rPr>
      </w:pPr>
    </w:p>
    <w:p w14:paraId="16419922" w14:textId="77777777" w:rsidR="003A3F7A" w:rsidRPr="00E3332E" w:rsidRDefault="003A3F7A" w:rsidP="00757184">
      <w:pPr>
        <w:jc w:val="both"/>
        <w:rPr>
          <w:rFonts w:ascii="Ping LCG Regular" w:hAnsi="Ping LCG Regular"/>
          <w:b/>
          <w:sz w:val="20"/>
          <w:szCs w:val="20"/>
          <w:highlight w:val="cyan"/>
          <w:lang w:val="el-GR"/>
        </w:rPr>
      </w:pPr>
    </w:p>
    <w:p w14:paraId="230A98E3" w14:textId="77777777" w:rsidR="003A3F7A" w:rsidRPr="00E3332E" w:rsidRDefault="003A3F7A" w:rsidP="00757184">
      <w:pPr>
        <w:jc w:val="both"/>
        <w:rPr>
          <w:rFonts w:ascii="Ping LCG Regular" w:hAnsi="Ping LCG Regular"/>
          <w:b/>
          <w:sz w:val="20"/>
          <w:szCs w:val="20"/>
          <w:highlight w:val="cyan"/>
          <w:lang w:val="el-GR"/>
        </w:rPr>
      </w:pPr>
    </w:p>
    <w:p w14:paraId="2C8E4C2A" w14:textId="77777777" w:rsidR="003A3F7A" w:rsidRPr="00E3332E" w:rsidRDefault="003A3F7A" w:rsidP="00757184">
      <w:pPr>
        <w:jc w:val="both"/>
        <w:rPr>
          <w:rFonts w:ascii="Ping LCG Regular" w:hAnsi="Ping LCG Regular"/>
          <w:b/>
          <w:sz w:val="20"/>
          <w:szCs w:val="20"/>
          <w:highlight w:val="cyan"/>
          <w:lang w:val="el-GR"/>
        </w:rPr>
      </w:pPr>
    </w:p>
    <w:p w14:paraId="44015203" w14:textId="77777777" w:rsidR="003A3F7A" w:rsidRPr="00E3332E" w:rsidRDefault="003A3F7A" w:rsidP="00757184">
      <w:pPr>
        <w:jc w:val="both"/>
        <w:rPr>
          <w:rFonts w:ascii="Ping LCG Regular" w:hAnsi="Ping LCG Regular"/>
          <w:b/>
          <w:sz w:val="20"/>
          <w:szCs w:val="20"/>
          <w:highlight w:val="cyan"/>
          <w:lang w:val="el-GR"/>
        </w:rPr>
      </w:pPr>
    </w:p>
    <w:p w14:paraId="23341C55" w14:textId="77777777" w:rsidR="00901869" w:rsidRPr="008D2CF0" w:rsidRDefault="00901869" w:rsidP="00901869">
      <w:pPr>
        <w:jc w:val="both"/>
        <w:rPr>
          <w:rFonts w:ascii="Ping LCG Regular" w:hAnsi="Ping LCG Regular"/>
          <w:b/>
          <w:sz w:val="20"/>
          <w:szCs w:val="20"/>
          <w:lang w:val="el-GR"/>
        </w:rPr>
      </w:pPr>
      <w:r w:rsidRPr="008D2CF0">
        <w:rPr>
          <w:rFonts w:ascii="Ping LCG Regular" w:hAnsi="Ping LCG Regular"/>
          <w:b/>
          <w:sz w:val="20"/>
          <w:szCs w:val="20"/>
          <w:lang w:val="el-GR"/>
        </w:rPr>
        <w:t>Ενοποιημένη Κατάσταση Αποτελεσμάτων (Συνοπτική)</w:t>
      </w:r>
    </w:p>
    <w:p w14:paraId="7E150411" w14:textId="75A6B461" w:rsidR="002B3892" w:rsidRDefault="002B3892" w:rsidP="00A9563C">
      <w:pPr>
        <w:jc w:val="both"/>
        <w:rPr>
          <w:rFonts w:ascii="Ping LCG Regular" w:hAnsi="Ping LCG Regular"/>
          <w:b/>
          <w:sz w:val="20"/>
          <w:szCs w:val="20"/>
          <w:lang w:val="el-GR"/>
        </w:rPr>
      </w:pPr>
    </w:p>
    <w:p w14:paraId="377ADECC" w14:textId="35C86FE8" w:rsidR="008D3D9E" w:rsidRPr="00317DEB" w:rsidRDefault="00FB124A" w:rsidP="00A9563C">
      <w:pPr>
        <w:jc w:val="both"/>
        <w:rPr>
          <w:rFonts w:ascii="Ping LCG Regular" w:hAnsi="Ping LCG Regular"/>
          <w:b/>
          <w:sz w:val="20"/>
          <w:szCs w:val="20"/>
          <w:lang w:val="el-GR"/>
        </w:rPr>
      </w:pPr>
      <w:r w:rsidRPr="00FB124A">
        <w:drawing>
          <wp:inline distT="0" distB="0" distL="0" distR="0" wp14:anchorId="1F82357C" wp14:editId="21A05206">
            <wp:extent cx="5490210" cy="48494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210" cy="4849495"/>
                    </a:xfrm>
                    <a:prstGeom prst="rect">
                      <a:avLst/>
                    </a:prstGeom>
                    <a:noFill/>
                    <a:ln>
                      <a:noFill/>
                    </a:ln>
                  </pic:spPr>
                </pic:pic>
              </a:graphicData>
            </a:graphic>
          </wp:inline>
        </w:drawing>
      </w:r>
    </w:p>
    <w:p w14:paraId="3A7977F4" w14:textId="66578644" w:rsidR="002B3892" w:rsidRPr="008D2CF0" w:rsidRDefault="002B3892" w:rsidP="00A9563C">
      <w:pPr>
        <w:jc w:val="both"/>
        <w:rPr>
          <w:rFonts w:ascii="Ping LCG Regular" w:hAnsi="Ping LCG Regular"/>
          <w:b/>
          <w:sz w:val="20"/>
          <w:szCs w:val="20"/>
          <w:lang w:val="el-GR"/>
        </w:rPr>
      </w:pPr>
    </w:p>
    <w:p w14:paraId="325E41F8" w14:textId="16735968" w:rsidR="002B3892" w:rsidRPr="008D2CF0" w:rsidRDefault="002B3892" w:rsidP="00A9563C">
      <w:pPr>
        <w:jc w:val="both"/>
        <w:rPr>
          <w:rFonts w:ascii="Ping LCG Regular" w:hAnsi="Ping LCG Regular"/>
          <w:b/>
          <w:sz w:val="20"/>
          <w:szCs w:val="20"/>
          <w:lang w:val="el-GR"/>
        </w:rPr>
      </w:pPr>
    </w:p>
    <w:p w14:paraId="0539D723" w14:textId="1C6F4115" w:rsidR="002B3892" w:rsidRPr="008D2CF0" w:rsidRDefault="002B3892" w:rsidP="00A9563C">
      <w:pPr>
        <w:jc w:val="both"/>
        <w:rPr>
          <w:rFonts w:ascii="Ping LCG Regular" w:hAnsi="Ping LCG Regular"/>
          <w:b/>
          <w:sz w:val="20"/>
          <w:szCs w:val="20"/>
          <w:lang w:val="el-GR"/>
        </w:rPr>
      </w:pPr>
    </w:p>
    <w:p w14:paraId="4FFD95BE" w14:textId="46931BB3" w:rsidR="002B3892" w:rsidRPr="008D2CF0" w:rsidRDefault="002B3892" w:rsidP="00A9563C">
      <w:pPr>
        <w:jc w:val="both"/>
        <w:rPr>
          <w:rFonts w:ascii="Ping LCG Regular" w:hAnsi="Ping LCG Regular"/>
          <w:b/>
          <w:sz w:val="20"/>
          <w:szCs w:val="20"/>
          <w:lang w:val="el-GR"/>
        </w:rPr>
      </w:pPr>
    </w:p>
    <w:p w14:paraId="4B6F1758" w14:textId="5ADC7740" w:rsidR="002B3892" w:rsidRPr="008D2CF0" w:rsidRDefault="002B3892" w:rsidP="00A9563C">
      <w:pPr>
        <w:jc w:val="both"/>
        <w:rPr>
          <w:rFonts w:ascii="Ping LCG Regular" w:hAnsi="Ping LCG Regular"/>
          <w:b/>
          <w:sz w:val="20"/>
          <w:szCs w:val="20"/>
          <w:lang w:val="el-GR"/>
        </w:rPr>
      </w:pPr>
    </w:p>
    <w:p w14:paraId="39F4364F" w14:textId="77777777" w:rsidR="002B3892" w:rsidRPr="008D2CF0" w:rsidRDefault="002B3892" w:rsidP="00A9563C">
      <w:pPr>
        <w:jc w:val="both"/>
        <w:rPr>
          <w:rFonts w:ascii="Ping LCG Regular" w:hAnsi="Ping LCG Regular"/>
          <w:b/>
          <w:sz w:val="20"/>
          <w:szCs w:val="20"/>
          <w:lang w:val="el-GR"/>
        </w:rPr>
      </w:pPr>
    </w:p>
    <w:p w14:paraId="33519BC1" w14:textId="77777777" w:rsidR="002B3892" w:rsidRPr="008D2CF0" w:rsidRDefault="002B3892" w:rsidP="00A9563C">
      <w:pPr>
        <w:jc w:val="both"/>
        <w:rPr>
          <w:rFonts w:ascii="Ping LCG Regular" w:hAnsi="Ping LCG Regular"/>
          <w:b/>
          <w:sz w:val="20"/>
          <w:szCs w:val="20"/>
          <w:lang w:val="el-GR"/>
        </w:rPr>
      </w:pPr>
    </w:p>
    <w:p w14:paraId="5BB62AF8" w14:textId="77777777" w:rsidR="002B3892" w:rsidRPr="008D2CF0" w:rsidRDefault="002B3892" w:rsidP="00A9563C">
      <w:pPr>
        <w:jc w:val="both"/>
        <w:rPr>
          <w:rFonts w:ascii="Ping LCG Regular" w:hAnsi="Ping LCG Regular"/>
          <w:b/>
          <w:sz w:val="20"/>
          <w:szCs w:val="20"/>
          <w:lang w:val="el-GR"/>
        </w:rPr>
      </w:pPr>
    </w:p>
    <w:p w14:paraId="3D01FD11" w14:textId="77777777" w:rsidR="002B3892" w:rsidRPr="008D2CF0" w:rsidRDefault="002B3892" w:rsidP="00A9563C">
      <w:pPr>
        <w:jc w:val="both"/>
        <w:rPr>
          <w:rFonts w:ascii="Ping LCG Regular" w:hAnsi="Ping LCG Regular"/>
          <w:b/>
          <w:sz w:val="20"/>
          <w:szCs w:val="20"/>
          <w:lang w:val="el-GR"/>
        </w:rPr>
      </w:pPr>
    </w:p>
    <w:p w14:paraId="59C62243" w14:textId="77777777" w:rsidR="002B3892" w:rsidRPr="008D2CF0" w:rsidRDefault="002B3892" w:rsidP="00A9563C">
      <w:pPr>
        <w:jc w:val="both"/>
        <w:rPr>
          <w:rFonts w:ascii="Ping LCG Regular" w:hAnsi="Ping LCG Regular"/>
          <w:b/>
          <w:sz w:val="20"/>
          <w:szCs w:val="20"/>
          <w:lang w:val="el-GR"/>
        </w:rPr>
      </w:pPr>
    </w:p>
    <w:p w14:paraId="7C59E030" w14:textId="77777777" w:rsidR="002B3892" w:rsidRPr="008D2CF0" w:rsidRDefault="002B3892" w:rsidP="00A9563C">
      <w:pPr>
        <w:jc w:val="both"/>
        <w:rPr>
          <w:rFonts w:ascii="Ping LCG Regular" w:hAnsi="Ping LCG Regular"/>
          <w:b/>
          <w:sz w:val="20"/>
          <w:szCs w:val="20"/>
          <w:lang w:val="el-GR"/>
        </w:rPr>
      </w:pPr>
    </w:p>
    <w:p w14:paraId="0B39AEC8" w14:textId="77777777" w:rsidR="002B3892" w:rsidRPr="008D2CF0" w:rsidRDefault="002B3892" w:rsidP="00A9563C">
      <w:pPr>
        <w:jc w:val="both"/>
        <w:rPr>
          <w:rFonts w:ascii="Ping LCG Regular" w:hAnsi="Ping LCG Regular"/>
          <w:b/>
          <w:sz w:val="20"/>
          <w:szCs w:val="20"/>
          <w:lang w:val="el-GR"/>
        </w:rPr>
      </w:pPr>
    </w:p>
    <w:p w14:paraId="05B7B117" w14:textId="77777777" w:rsidR="002B3892" w:rsidRPr="008D2CF0" w:rsidRDefault="002B3892" w:rsidP="00A9563C">
      <w:pPr>
        <w:jc w:val="both"/>
        <w:rPr>
          <w:rFonts w:ascii="Ping LCG Regular" w:hAnsi="Ping LCG Regular"/>
          <w:b/>
          <w:sz w:val="20"/>
          <w:szCs w:val="20"/>
          <w:lang w:val="el-GR"/>
        </w:rPr>
      </w:pPr>
    </w:p>
    <w:p w14:paraId="5EC63E24" w14:textId="77777777" w:rsidR="00080FDE" w:rsidRPr="008D2CF0" w:rsidRDefault="00080FDE" w:rsidP="00A9563C">
      <w:pPr>
        <w:jc w:val="both"/>
        <w:rPr>
          <w:rFonts w:ascii="Ping LCG Regular" w:hAnsi="Ping LCG Regular"/>
          <w:b/>
          <w:sz w:val="20"/>
          <w:szCs w:val="20"/>
          <w:lang w:val="el-GR"/>
        </w:rPr>
      </w:pPr>
    </w:p>
    <w:p w14:paraId="7E8091C8" w14:textId="77777777" w:rsidR="002B3892" w:rsidRPr="008D2CF0" w:rsidRDefault="002B3892" w:rsidP="00A9563C">
      <w:pPr>
        <w:jc w:val="both"/>
        <w:rPr>
          <w:rFonts w:ascii="Ping LCG Regular" w:hAnsi="Ping LCG Regular"/>
          <w:b/>
          <w:sz w:val="20"/>
          <w:szCs w:val="20"/>
          <w:lang w:val="el-GR"/>
        </w:rPr>
      </w:pPr>
    </w:p>
    <w:p w14:paraId="470EC0E0" w14:textId="77777777" w:rsidR="002B3892" w:rsidRPr="008D2CF0" w:rsidRDefault="002B3892" w:rsidP="00A9563C">
      <w:pPr>
        <w:jc w:val="both"/>
        <w:rPr>
          <w:rFonts w:ascii="Ping LCG Regular" w:hAnsi="Ping LCG Regular"/>
          <w:b/>
          <w:sz w:val="20"/>
          <w:szCs w:val="20"/>
          <w:lang w:val="el-GR"/>
        </w:rPr>
      </w:pPr>
    </w:p>
    <w:p w14:paraId="4F08B90E" w14:textId="77777777" w:rsidR="002B3892" w:rsidRPr="008D2CF0" w:rsidRDefault="002B3892" w:rsidP="00A9563C">
      <w:pPr>
        <w:jc w:val="both"/>
        <w:rPr>
          <w:rFonts w:ascii="Ping LCG Regular" w:hAnsi="Ping LCG Regular"/>
          <w:b/>
          <w:sz w:val="20"/>
          <w:szCs w:val="20"/>
          <w:lang w:val="el-GR"/>
        </w:rPr>
      </w:pPr>
    </w:p>
    <w:p w14:paraId="2D405D8A" w14:textId="77777777" w:rsidR="002B3892" w:rsidRPr="008D2CF0" w:rsidRDefault="002B3892" w:rsidP="00A9563C">
      <w:pPr>
        <w:jc w:val="both"/>
        <w:rPr>
          <w:rFonts w:ascii="Ping LCG Regular" w:hAnsi="Ping LCG Regular"/>
          <w:b/>
          <w:sz w:val="20"/>
          <w:szCs w:val="20"/>
          <w:lang w:val="el-GR"/>
        </w:rPr>
      </w:pPr>
    </w:p>
    <w:p w14:paraId="5B9A004C" w14:textId="77777777" w:rsidR="002B3892" w:rsidRPr="008D2CF0" w:rsidRDefault="002B3892" w:rsidP="00A9563C">
      <w:pPr>
        <w:jc w:val="both"/>
        <w:rPr>
          <w:rFonts w:ascii="Ping LCG Regular" w:hAnsi="Ping LCG Regular"/>
          <w:b/>
          <w:sz w:val="20"/>
          <w:szCs w:val="20"/>
          <w:lang w:val="el-GR"/>
        </w:rPr>
      </w:pPr>
    </w:p>
    <w:p w14:paraId="50BD79ED" w14:textId="77777777" w:rsidR="002B3892" w:rsidRPr="008D2CF0" w:rsidRDefault="002B3892" w:rsidP="00A9563C">
      <w:pPr>
        <w:jc w:val="both"/>
        <w:rPr>
          <w:rFonts w:ascii="Ping LCG Regular" w:hAnsi="Ping LCG Regular"/>
          <w:b/>
          <w:sz w:val="20"/>
          <w:szCs w:val="20"/>
          <w:lang w:val="el-GR"/>
        </w:rPr>
      </w:pPr>
    </w:p>
    <w:p w14:paraId="0AB224E1" w14:textId="77777777" w:rsidR="006E65F8" w:rsidRPr="008D2CF0" w:rsidRDefault="006E65F8" w:rsidP="00A9563C">
      <w:pPr>
        <w:jc w:val="both"/>
        <w:rPr>
          <w:rFonts w:ascii="Ping LCG Regular" w:hAnsi="Ping LCG Regular"/>
          <w:b/>
          <w:sz w:val="20"/>
          <w:szCs w:val="20"/>
          <w:lang w:val="el-GR"/>
        </w:rPr>
      </w:pPr>
    </w:p>
    <w:p w14:paraId="24072102" w14:textId="77777777" w:rsidR="006E65F8" w:rsidRPr="008D2CF0" w:rsidRDefault="006E65F8" w:rsidP="00A9563C">
      <w:pPr>
        <w:jc w:val="both"/>
        <w:rPr>
          <w:rFonts w:ascii="Ping LCG Regular" w:hAnsi="Ping LCG Regular"/>
          <w:b/>
          <w:sz w:val="20"/>
          <w:szCs w:val="20"/>
          <w:lang w:val="el-GR"/>
        </w:rPr>
      </w:pPr>
    </w:p>
    <w:p w14:paraId="0C3A999E" w14:textId="77777777" w:rsidR="00CC1707" w:rsidRPr="008D2CF0" w:rsidRDefault="00CC1707" w:rsidP="00A9563C">
      <w:pPr>
        <w:jc w:val="both"/>
        <w:rPr>
          <w:rFonts w:ascii="Ping LCG Regular" w:hAnsi="Ping LCG Regular"/>
          <w:b/>
          <w:sz w:val="20"/>
          <w:szCs w:val="20"/>
          <w:lang w:val="el-GR"/>
        </w:rPr>
      </w:pPr>
    </w:p>
    <w:p w14:paraId="61D5E175" w14:textId="77777777" w:rsidR="00CC1707" w:rsidRPr="008D2CF0" w:rsidRDefault="00CC1707" w:rsidP="00A9563C">
      <w:pPr>
        <w:jc w:val="both"/>
        <w:rPr>
          <w:rFonts w:ascii="Ping LCG Regular" w:hAnsi="Ping LCG Regular"/>
          <w:b/>
          <w:sz w:val="20"/>
          <w:szCs w:val="20"/>
          <w:lang w:val="el-GR"/>
        </w:rPr>
      </w:pPr>
    </w:p>
    <w:p w14:paraId="02765C90" w14:textId="77777777" w:rsidR="00CC1707" w:rsidRPr="008D2CF0" w:rsidRDefault="00CC1707" w:rsidP="00A9563C">
      <w:pPr>
        <w:jc w:val="both"/>
        <w:rPr>
          <w:rFonts w:ascii="Ping LCG Regular" w:hAnsi="Ping LCG Regular"/>
          <w:b/>
          <w:sz w:val="20"/>
          <w:szCs w:val="20"/>
          <w:lang w:val="el-GR"/>
        </w:rPr>
      </w:pPr>
    </w:p>
    <w:p w14:paraId="02A416D2" w14:textId="77777777" w:rsidR="00CC1707" w:rsidRPr="008D2CF0" w:rsidRDefault="00CC1707" w:rsidP="00A9563C">
      <w:pPr>
        <w:jc w:val="both"/>
        <w:rPr>
          <w:rFonts w:ascii="Ping LCG Regular" w:hAnsi="Ping LCG Regular"/>
          <w:b/>
          <w:sz w:val="20"/>
          <w:szCs w:val="20"/>
          <w:lang w:val="el-GR"/>
        </w:rPr>
      </w:pPr>
    </w:p>
    <w:p w14:paraId="61241834" w14:textId="77777777" w:rsidR="00111800" w:rsidRPr="008D2CF0" w:rsidRDefault="00111800" w:rsidP="00111800">
      <w:pPr>
        <w:jc w:val="both"/>
        <w:rPr>
          <w:rFonts w:ascii="Ping LCG Regular" w:hAnsi="Ping LCG Regular"/>
          <w:b/>
          <w:sz w:val="20"/>
          <w:szCs w:val="20"/>
          <w:lang w:val="el-GR"/>
        </w:rPr>
      </w:pPr>
      <w:r w:rsidRPr="008D2CF0">
        <w:rPr>
          <w:rFonts w:ascii="Ping LCG Regular" w:hAnsi="Ping LCG Regular"/>
          <w:b/>
          <w:sz w:val="20"/>
          <w:szCs w:val="20"/>
          <w:lang w:val="el-GR"/>
        </w:rPr>
        <w:t>Ενοποιημένη κατάσταση ταμιακών ροών (Συνοπτική)</w:t>
      </w:r>
    </w:p>
    <w:p w14:paraId="24BD2787" w14:textId="77777777" w:rsidR="00E64B7C" w:rsidRPr="008D2CF0" w:rsidRDefault="00E64B7C" w:rsidP="002B3892">
      <w:pPr>
        <w:jc w:val="both"/>
        <w:rPr>
          <w:rFonts w:ascii="Ping LCG Regular" w:hAnsi="Ping LCG Regular"/>
          <w:b/>
          <w:sz w:val="20"/>
          <w:szCs w:val="20"/>
          <w:lang w:val="el-GR"/>
        </w:rPr>
      </w:pPr>
    </w:p>
    <w:p w14:paraId="7254E27E" w14:textId="77777777" w:rsidR="00E64B7C" w:rsidRPr="008D2CF0" w:rsidRDefault="00E64B7C" w:rsidP="002B3892">
      <w:pPr>
        <w:jc w:val="both"/>
        <w:rPr>
          <w:rFonts w:ascii="Ping LCG Regular" w:hAnsi="Ping LCG Regular"/>
          <w:b/>
          <w:sz w:val="20"/>
          <w:szCs w:val="20"/>
          <w:lang w:val="el-GR"/>
        </w:rPr>
      </w:pPr>
    </w:p>
    <w:p w14:paraId="3C877032" w14:textId="14ACA8A3" w:rsidR="00E64B7C" w:rsidRPr="000209ED" w:rsidRDefault="00FF20E5" w:rsidP="002B3892">
      <w:pPr>
        <w:jc w:val="both"/>
        <w:rPr>
          <w:rFonts w:ascii="Ping LCG Regular" w:hAnsi="Ping LCG Regular"/>
          <w:b/>
          <w:sz w:val="20"/>
          <w:szCs w:val="20"/>
          <w:lang w:val="el-GR"/>
        </w:rPr>
      </w:pPr>
      <w:r w:rsidRPr="00FF20E5">
        <w:drawing>
          <wp:inline distT="0" distB="0" distL="0" distR="0" wp14:anchorId="029FD057" wp14:editId="7FD74203">
            <wp:extent cx="5490210" cy="5785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210" cy="5785485"/>
                    </a:xfrm>
                    <a:prstGeom prst="rect">
                      <a:avLst/>
                    </a:prstGeom>
                    <a:noFill/>
                    <a:ln>
                      <a:noFill/>
                    </a:ln>
                  </pic:spPr>
                </pic:pic>
              </a:graphicData>
            </a:graphic>
          </wp:inline>
        </w:drawing>
      </w:r>
    </w:p>
    <w:p w14:paraId="1E54CC14" w14:textId="541F0A44" w:rsidR="002B3892" w:rsidRPr="00B00553" w:rsidRDefault="002B3892" w:rsidP="00A9563C">
      <w:pPr>
        <w:jc w:val="both"/>
        <w:rPr>
          <w:rFonts w:ascii="Ping LCG Regular" w:hAnsi="Ping LCG Regular"/>
          <w:b/>
          <w:sz w:val="20"/>
          <w:szCs w:val="20"/>
          <w:lang w:val="el-GR"/>
        </w:rPr>
      </w:pPr>
    </w:p>
    <w:sectPr w:rsidR="002B3892" w:rsidRPr="00B00553" w:rsidSect="00514A01">
      <w:headerReference w:type="even" r:id="rId17"/>
      <w:headerReference w:type="default" r:id="rId18"/>
      <w:footerReference w:type="even" r:id="rId19"/>
      <w:footerReference w:type="default" r:id="rId20"/>
      <w:headerReference w:type="first" r:id="rId21"/>
      <w:footerReference w:type="first" r:id="rId22"/>
      <w:pgSz w:w="11900" w:h="16840"/>
      <w:pgMar w:top="1701" w:right="1694" w:bottom="709" w:left="1560" w:header="0" w:footer="9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5C75" w14:textId="77777777" w:rsidR="00092554" w:rsidRDefault="00092554" w:rsidP="0054172F">
      <w:r>
        <w:separator/>
      </w:r>
    </w:p>
  </w:endnote>
  <w:endnote w:type="continuationSeparator" w:id="0">
    <w:p w14:paraId="74F04AB5" w14:textId="77777777" w:rsidR="00092554" w:rsidRDefault="00092554" w:rsidP="0054172F">
      <w:r>
        <w:continuationSeparator/>
      </w:r>
    </w:p>
  </w:endnote>
  <w:endnote w:type="continuationNotice" w:id="1">
    <w:p w14:paraId="565557AB" w14:textId="77777777" w:rsidR="00092554" w:rsidRDefault="00092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panose1 w:val="00000000000000000000"/>
    <w:charset w:val="00"/>
    <w:family w:val="modern"/>
    <w:notTrueType/>
    <w:pitch w:val="variable"/>
    <w:sig w:usb0="E00002FF" w:usb1="5001E47B"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490327"/>
      <w:docPartObj>
        <w:docPartGallery w:val="Page Numbers (Bottom of Page)"/>
        <w:docPartUnique/>
      </w:docPartObj>
    </w:sdtPr>
    <w:sdtEndPr>
      <w:rPr>
        <w:rStyle w:val="PageNumber"/>
      </w:rPr>
    </w:sdtEndPr>
    <w:sdtContent>
      <w:p w14:paraId="634B7564" w14:textId="1081F108" w:rsidR="00277187" w:rsidRDefault="00277187" w:rsidP="00C300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8097A" w14:textId="77777777" w:rsidR="00277187" w:rsidRDefault="00277187" w:rsidP="0027718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ing LCG Regular" w:hAnsi="Ping LCG Regular"/>
        <w:sz w:val="16"/>
        <w:szCs w:val="16"/>
      </w:rPr>
      <w:id w:val="-472456482"/>
      <w:docPartObj>
        <w:docPartGallery w:val="Page Numbers (Bottom of Page)"/>
        <w:docPartUnique/>
      </w:docPartObj>
    </w:sdtPr>
    <w:sdtEndPr>
      <w:rPr>
        <w:rStyle w:val="PageNumber"/>
      </w:rPr>
    </w:sdtEndPr>
    <w:sdtContent>
      <w:p w14:paraId="44C738F4" w14:textId="7C5B8C9F" w:rsidR="00277187" w:rsidRPr="00277187" w:rsidRDefault="00277187" w:rsidP="00F5169D">
        <w:pPr>
          <w:pStyle w:val="Footer"/>
          <w:framePr w:w="561" w:wrap="notBeside" w:vAnchor="page" w:hAnchor="page" w:x="10601" w:y="16267"/>
          <w:jc w:val="right"/>
          <w:rPr>
            <w:rStyle w:val="PageNumber"/>
            <w:rFonts w:ascii="Ping LCG Regular" w:hAnsi="Ping LCG Regular"/>
            <w:sz w:val="16"/>
            <w:szCs w:val="16"/>
          </w:rPr>
        </w:pPr>
        <w:r w:rsidRPr="00277187">
          <w:rPr>
            <w:rStyle w:val="PageNumber"/>
            <w:rFonts w:ascii="Ping LCG Regular" w:hAnsi="Ping LCG Regular"/>
            <w:sz w:val="16"/>
            <w:szCs w:val="16"/>
          </w:rPr>
          <w:fldChar w:fldCharType="begin"/>
        </w:r>
        <w:r w:rsidRPr="00277187">
          <w:rPr>
            <w:rStyle w:val="PageNumber"/>
            <w:rFonts w:ascii="Ping LCG Regular" w:hAnsi="Ping LCG Regular"/>
            <w:sz w:val="16"/>
            <w:szCs w:val="16"/>
          </w:rPr>
          <w:instrText xml:space="preserve"> PAGE </w:instrText>
        </w:r>
        <w:r w:rsidRPr="00277187">
          <w:rPr>
            <w:rStyle w:val="PageNumber"/>
            <w:rFonts w:ascii="Ping LCG Regular" w:hAnsi="Ping LCG Regular"/>
            <w:sz w:val="16"/>
            <w:szCs w:val="16"/>
          </w:rPr>
          <w:fldChar w:fldCharType="separate"/>
        </w:r>
        <w:r w:rsidRPr="00277187">
          <w:rPr>
            <w:rStyle w:val="PageNumber"/>
            <w:rFonts w:ascii="Ping LCG Regular" w:hAnsi="Ping LCG Regular"/>
            <w:noProof/>
            <w:sz w:val="16"/>
            <w:szCs w:val="16"/>
          </w:rPr>
          <w:t>2</w:t>
        </w:r>
        <w:r w:rsidRPr="00277187">
          <w:rPr>
            <w:rStyle w:val="PageNumber"/>
            <w:rFonts w:ascii="Ping LCG Regular" w:hAnsi="Ping LCG Regular"/>
            <w:sz w:val="16"/>
            <w:szCs w:val="16"/>
          </w:rPr>
          <w:fldChar w:fldCharType="end"/>
        </w:r>
      </w:p>
    </w:sdtContent>
  </w:sdt>
  <w:p w14:paraId="4A55A45F" w14:textId="1FE913F6" w:rsidR="00351929" w:rsidRPr="00F95A9D" w:rsidRDefault="00351929" w:rsidP="00C30099">
    <w:pPr>
      <w:pStyle w:val="Footer"/>
      <w:ind w:firstLine="360"/>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C8E" w14:textId="72BF991C" w:rsidR="001B100F" w:rsidRDefault="001B100F" w:rsidP="0027718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8BFF" w14:textId="77777777" w:rsidR="00092554" w:rsidRDefault="00092554" w:rsidP="0054172F">
      <w:r>
        <w:separator/>
      </w:r>
    </w:p>
  </w:footnote>
  <w:footnote w:type="continuationSeparator" w:id="0">
    <w:p w14:paraId="43945CD4" w14:textId="77777777" w:rsidR="00092554" w:rsidRDefault="00092554" w:rsidP="0054172F">
      <w:r>
        <w:continuationSeparator/>
      </w:r>
    </w:p>
  </w:footnote>
  <w:footnote w:type="continuationNotice" w:id="1">
    <w:p w14:paraId="52BB6233" w14:textId="77777777" w:rsidR="00092554" w:rsidRDefault="00092554"/>
  </w:footnote>
  <w:footnote w:id="2">
    <w:p w14:paraId="43D5C33B" w14:textId="6E95942B" w:rsidR="003C2680" w:rsidRPr="00B37766" w:rsidRDefault="00702839" w:rsidP="00B37766">
      <w:pPr>
        <w:pStyle w:val="FootnoteText"/>
        <w:jc w:val="both"/>
        <w:rPr>
          <w:sz w:val="18"/>
          <w:szCs w:val="18"/>
          <w:lang w:val="el-GR"/>
        </w:rPr>
      </w:pPr>
      <w:r w:rsidRPr="006176FD">
        <w:rPr>
          <w:rStyle w:val="FootnoteReference"/>
          <w:sz w:val="18"/>
          <w:szCs w:val="18"/>
        </w:rPr>
        <w:footnoteRef/>
      </w:r>
      <w:r w:rsidRPr="003C2680">
        <w:rPr>
          <w:sz w:val="18"/>
          <w:szCs w:val="18"/>
          <w:lang w:val="el-GR"/>
        </w:rPr>
        <w:t xml:space="preserve"> </w:t>
      </w:r>
      <w:r w:rsidR="0055059D" w:rsidRPr="00B37766">
        <w:rPr>
          <w:lang w:val="el-GR"/>
        </w:rPr>
        <w:t xml:space="preserve"> </w:t>
      </w:r>
      <w:r w:rsidR="0055059D" w:rsidRPr="0055059D">
        <w:rPr>
          <w:sz w:val="18"/>
          <w:szCs w:val="18"/>
          <w:lang w:val="el-GR"/>
        </w:rPr>
        <w:t>Το EBITDA του 2023 έχει επηρεαστεί αρνητικά από την πρόβλεψη για αποζημιώσεις προσωπικού ύψους €25 εκατ. όπως επίσης και από την αποτίμηση συμβάσεων αγοραπωλησίας ηλεκτρικής ενέργειας ύψους €7 εκατ.  Αντίστοιχα, το EBITDA του 2022, επηρεάστηκε αρνητικά από την έκτακτη εισφορά ύψους €245 εκατ. που επιβλήθηκε στους παραγωγούς ηλεκτρικής ενέργειας, από την πρόβλεψη για αποζημιώσεις προσωπικού ύψους €50 εκατ. καθώς επίσης και από την αναδρομική χρέωση ύψους €</w:t>
      </w:r>
      <w:r w:rsidR="0055059D" w:rsidRPr="00B37766">
        <w:rPr>
          <w:sz w:val="18"/>
          <w:szCs w:val="18"/>
          <w:lang w:val="el-GR"/>
        </w:rPr>
        <w:t>7</w:t>
      </w:r>
      <w:r w:rsidR="0055059D" w:rsidRPr="0055059D">
        <w:rPr>
          <w:sz w:val="18"/>
          <w:szCs w:val="18"/>
          <w:lang w:val="el-GR"/>
        </w:rPr>
        <w:t xml:space="preserve"> εκατ. λόγω ανάκτησης ειδικών επιδομάτων από την εφαρμογή της ΕΣΣΕ 2021-2024.</w:t>
      </w:r>
    </w:p>
    <w:p w14:paraId="17B24B71" w14:textId="7AAF75E9" w:rsidR="00702839" w:rsidRPr="003C2680" w:rsidRDefault="00702839" w:rsidP="00B37766">
      <w:pPr>
        <w:pStyle w:val="FootnoteText"/>
        <w:jc w:val="both"/>
        <w:rPr>
          <w:lang w:val="el-GR"/>
        </w:rPr>
      </w:pPr>
    </w:p>
  </w:footnote>
  <w:footnote w:id="3">
    <w:p w14:paraId="570BE24B" w14:textId="6818E3E6" w:rsidR="00F17D97" w:rsidRPr="005D1D80" w:rsidRDefault="00F17D97" w:rsidP="00F17D97">
      <w:pPr>
        <w:pStyle w:val="FootnoteText"/>
        <w:rPr>
          <w:sz w:val="18"/>
          <w:szCs w:val="18"/>
          <w:lang w:val="el-GR"/>
        </w:rPr>
      </w:pPr>
      <w:r w:rsidRPr="005D1D80">
        <w:rPr>
          <w:rStyle w:val="FootnoteReference"/>
          <w:sz w:val="18"/>
          <w:szCs w:val="18"/>
        </w:rPr>
        <w:footnoteRef/>
      </w:r>
      <w:r w:rsidRPr="005D1D80">
        <w:rPr>
          <w:sz w:val="18"/>
          <w:szCs w:val="18"/>
          <w:lang w:val="el-GR"/>
        </w:rPr>
        <w:t xml:space="preserve"> </w:t>
      </w:r>
      <w:r w:rsidR="001F3C18" w:rsidRPr="005D1D80">
        <w:rPr>
          <w:sz w:val="18"/>
          <w:szCs w:val="18"/>
          <w:lang w:val="el-GR"/>
        </w:rPr>
        <w:t xml:space="preserve">Με βάση τα στοιχεία της </w:t>
      </w:r>
      <w:proofErr w:type="spellStart"/>
      <w:r w:rsidR="0061628A" w:rsidRPr="005D1D80">
        <w:rPr>
          <w:sz w:val="18"/>
          <w:szCs w:val="18"/>
        </w:rPr>
        <w:t>Transelectrica</w:t>
      </w:r>
      <w:proofErr w:type="spellEnd"/>
      <w:r w:rsidR="0061628A" w:rsidRPr="005D1D80">
        <w:rPr>
          <w:sz w:val="18"/>
          <w:szCs w:val="18"/>
          <w:lang w:val="el-GR"/>
        </w:rPr>
        <w:t xml:space="preserve">  </w:t>
      </w:r>
    </w:p>
  </w:footnote>
  <w:footnote w:id="4">
    <w:p w14:paraId="6AA1D8E1" w14:textId="60DC5500" w:rsidR="007A7876" w:rsidRPr="005D1D80" w:rsidRDefault="007A7876" w:rsidP="007A7876">
      <w:pPr>
        <w:pStyle w:val="FootnoteText"/>
        <w:rPr>
          <w:sz w:val="18"/>
          <w:szCs w:val="18"/>
          <w:lang w:val="el-GR"/>
        </w:rPr>
      </w:pPr>
      <w:r w:rsidRPr="005D1D80">
        <w:rPr>
          <w:rStyle w:val="FootnoteReference"/>
          <w:sz w:val="18"/>
          <w:szCs w:val="18"/>
        </w:rPr>
        <w:footnoteRef/>
      </w:r>
      <w:r w:rsidRPr="005D1D80">
        <w:rPr>
          <w:sz w:val="18"/>
          <w:szCs w:val="18"/>
          <w:lang w:val="el-GR"/>
        </w:rPr>
        <w:t xml:space="preserve"> </w:t>
      </w:r>
      <w:r w:rsidR="005D2884" w:rsidRPr="005D1D80">
        <w:rPr>
          <w:sz w:val="18"/>
          <w:szCs w:val="18"/>
        </w:rPr>
        <w:t>M</w:t>
      </w:r>
      <w:r w:rsidR="005D2884" w:rsidRPr="005D1D80">
        <w:rPr>
          <w:sz w:val="18"/>
          <w:szCs w:val="18"/>
          <w:lang w:val="el-GR"/>
        </w:rPr>
        <w:t>ε βάση τα στοιχεία του Ομίλου Χρηματιστηρίου Ενέργειας (</w:t>
      </w:r>
      <w:proofErr w:type="spellStart"/>
      <w:r w:rsidR="005D2884" w:rsidRPr="005D1D80">
        <w:rPr>
          <w:sz w:val="18"/>
          <w:szCs w:val="18"/>
        </w:rPr>
        <w:t>EnEx</w:t>
      </w:r>
      <w:proofErr w:type="spellEnd"/>
      <w:r w:rsidR="005D2884" w:rsidRPr="005D1D80">
        <w:rPr>
          <w:sz w:val="18"/>
          <w:szCs w:val="18"/>
          <w:lang w:val="el-GR"/>
        </w:rPr>
        <w:t>)</w:t>
      </w:r>
    </w:p>
  </w:footnote>
  <w:footnote w:id="5">
    <w:p w14:paraId="42AE662E" w14:textId="143DEC82" w:rsidR="00C43530" w:rsidRPr="00CB298A" w:rsidRDefault="00C43530">
      <w:pPr>
        <w:pStyle w:val="FootnoteText"/>
        <w:rPr>
          <w:lang w:val="el-GR"/>
        </w:rPr>
      </w:pPr>
      <w:r w:rsidRPr="005D1D80">
        <w:rPr>
          <w:rStyle w:val="FootnoteReference"/>
        </w:rPr>
        <w:footnoteRef/>
      </w:r>
      <w:r w:rsidRPr="005D1D80">
        <w:rPr>
          <w:lang w:val="el-GR"/>
        </w:rPr>
        <w:t xml:space="preserve"> </w:t>
      </w:r>
      <w:r w:rsidR="007E156C" w:rsidRPr="005D1D80">
        <w:rPr>
          <w:sz w:val="18"/>
          <w:szCs w:val="18"/>
          <w:lang w:val="el-GR"/>
        </w:rPr>
        <w:t xml:space="preserve">Με βάση τα στοιχεία της </w:t>
      </w:r>
      <w:proofErr w:type="spellStart"/>
      <w:r w:rsidR="007E156C" w:rsidRPr="005D1D80">
        <w:rPr>
          <w:sz w:val="18"/>
          <w:szCs w:val="18"/>
        </w:rPr>
        <w:t>Transelectrica</w:t>
      </w:r>
      <w:proofErr w:type="spellEnd"/>
      <w:r w:rsidR="007E156C" w:rsidRPr="007E156C">
        <w:rPr>
          <w:sz w:val="18"/>
          <w:szCs w:val="18"/>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6EF" w14:textId="5C03BB37" w:rsidR="0054172F" w:rsidRDefault="005B3641">
    <w:pPr>
      <w:pStyle w:val="Header"/>
    </w:pPr>
    <w:r>
      <w:rPr>
        <w:noProof/>
      </w:rPr>
      <w:pict w14:anchorId="1632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6270" o:spid="_x0000_s1025" type="#_x0000_t75" alt="/Volumes/BriefMe_06/005-DDB/2020/113-DEH/035-PressRealesa/Telikes_Maketes/Press-Release 21x29,7cm-01-72ppi.jpg" style="position:absolute;margin-left:0;margin-top:0;width:297.5pt;height:421pt;z-index:-251656192;mso-wrap-edited:f;mso-position-horizontal:center;mso-position-horizontal-relative:margin;mso-position-vertical:center;mso-position-vertical-relative:margin" o:allowincell="f">
          <v:imagedata r:id="rId1" o:title="Press-Release 21x29,7cm-01-72p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A6BE" w14:textId="59250CA6" w:rsidR="0014283C" w:rsidRDefault="004B12ED" w:rsidP="0014283C">
    <w:pPr>
      <w:pStyle w:val="Header"/>
      <w:tabs>
        <w:tab w:val="left" w:pos="2268"/>
      </w:tabs>
    </w:pPr>
    <w:r>
      <w:rPr>
        <w:noProof/>
      </w:rPr>
      <w:drawing>
        <wp:anchor distT="0" distB="0" distL="114300" distR="114300" simplePos="0" relativeHeight="251657216" behindDoc="1" locked="0" layoutInCell="1" allowOverlap="1" wp14:anchorId="046EBE7F" wp14:editId="31016520">
          <wp:simplePos x="0" y="0"/>
          <wp:positionH relativeFrom="page">
            <wp:align>left</wp:align>
          </wp:positionH>
          <wp:positionV relativeFrom="topMargin">
            <wp:posOffset>9525</wp:posOffset>
          </wp:positionV>
          <wp:extent cx="8366125" cy="1238250"/>
          <wp:effectExtent l="0" t="0" r="0" b="0"/>
          <wp:wrapNone/>
          <wp:docPr id="31" name="Picture 31" descr="A blue and white gradie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5319407" name="Picture 1" descr="A blue and white gradi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8366125" cy="1238250"/>
                  </a:xfrm>
                  <a:prstGeom prst="rect">
                    <a:avLst/>
                  </a:prstGeom>
                </pic:spPr>
              </pic:pic>
            </a:graphicData>
          </a:graphic>
          <wp14:sizeRelH relativeFrom="page">
            <wp14:pctWidth>0</wp14:pctWidth>
          </wp14:sizeRelH>
          <wp14:sizeRelV relativeFrom="page">
            <wp14:pctHeight>0</wp14:pctHeight>
          </wp14:sizeRelV>
        </wp:anchor>
      </w:drawing>
    </w:r>
  </w:p>
  <w:p w14:paraId="6210AD1C" w14:textId="6B5FE6C5" w:rsidR="0054172F" w:rsidRDefault="00A73BA1" w:rsidP="00504205">
    <w:pPr>
      <w:pStyle w:val="Header"/>
    </w:pPr>
    <w:r>
      <w:rPr>
        <w:noProof/>
      </w:rPr>
      <w:drawing>
        <wp:anchor distT="0" distB="0" distL="114300" distR="114300" simplePos="0" relativeHeight="251656192" behindDoc="1" locked="0" layoutInCell="1" allowOverlap="1" wp14:anchorId="67762AD2" wp14:editId="733BC9A8">
          <wp:simplePos x="0" y="0"/>
          <wp:positionH relativeFrom="page">
            <wp:posOffset>0</wp:posOffset>
          </wp:positionH>
          <wp:positionV relativeFrom="page">
            <wp:posOffset>9613265</wp:posOffset>
          </wp:positionV>
          <wp:extent cx="7560000" cy="1080000"/>
          <wp:effectExtent l="0" t="0" r="0" b="0"/>
          <wp:wrapNone/>
          <wp:docPr id="32" name="Picture 32" descr="A blue and white gradie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5319407" name="Picture 1" descr="A blue and white gradie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D0F" w14:textId="2B211CB7" w:rsidR="0054172F" w:rsidRDefault="004E2199">
    <w:pPr>
      <w:pStyle w:val="Header"/>
    </w:pPr>
    <w:r>
      <w:rPr>
        <w:noProof/>
      </w:rPr>
      <w:drawing>
        <wp:anchor distT="0" distB="0" distL="114300" distR="114300" simplePos="0" relativeHeight="251659264" behindDoc="1" locked="0" layoutInCell="1" allowOverlap="1" wp14:anchorId="66E17425" wp14:editId="60273BBD">
          <wp:simplePos x="0" y="0"/>
          <wp:positionH relativeFrom="page">
            <wp:posOffset>464820</wp:posOffset>
          </wp:positionH>
          <wp:positionV relativeFrom="page">
            <wp:posOffset>297180</wp:posOffset>
          </wp:positionV>
          <wp:extent cx="2894330" cy="1842770"/>
          <wp:effectExtent l="0" t="0" r="0" b="0"/>
          <wp:wrapNone/>
          <wp:docPr id="33" name="Picture 3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58708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94330" cy="1842770"/>
                  </a:xfrm>
                  <a:prstGeom prst="rect">
                    <a:avLst/>
                  </a:prstGeom>
                </pic:spPr>
              </pic:pic>
            </a:graphicData>
          </a:graphic>
          <wp14:sizeRelH relativeFrom="margin">
            <wp14:pctWidth>0</wp14:pctWidth>
          </wp14:sizeRelH>
          <wp14:sizeRelV relativeFrom="margin">
            <wp14:pctHeight>0</wp14:pctHeight>
          </wp14:sizeRelV>
        </wp:anchor>
      </w:drawing>
    </w:r>
    <w:r w:rsidR="004B12ED">
      <w:rPr>
        <w:noProof/>
      </w:rPr>
      <w:drawing>
        <wp:anchor distT="0" distB="0" distL="114300" distR="114300" simplePos="0" relativeHeight="251658240" behindDoc="1" locked="0" layoutInCell="1" allowOverlap="1" wp14:anchorId="0E173648" wp14:editId="305769A1">
          <wp:simplePos x="0" y="0"/>
          <wp:positionH relativeFrom="page">
            <wp:posOffset>-304800</wp:posOffset>
          </wp:positionH>
          <wp:positionV relativeFrom="page">
            <wp:align>top</wp:align>
          </wp:positionV>
          <wp:extent cx="8366125" cy="1238250"/>
          <wp:effectExtent l="0" t="0" r="0" b="0"/>
          <wp:wrapNone/>
          <wp:docPr id="34" name="Picture 34" descr="A blue and white gradie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5319407" name="Picture 1" descr="A blue and white gradien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8366125" cy="1238250"/>
                  </a:xfrm>
                  <a:prstGeom prst="rect">
                    <a:avLst/>
                  </a:prstGeom>
                </pic:spPr>
              </pic:pic>
            </a:graphicData>
          </a:graphic>
          <wp14:sizeRelH relativeFrom="page">
            <wp14:pctWidth>0</wp14:pctWidth>
          </wp14:sizeRelH>
          <wp14:sizeRelV relativeFrom="page">
            <wp14:pctHeight>0</wp14:pctHeight>
          </wp14:sizeRelV>
        </wp:anchor>
      </w:drawing>
    </w:r>
    <w:r w:rsidR="00A73BA1">
      <w:rPr>
        <w:noProof/>
      </w:rPr>
      <w:drawing>
        <wp:anchor distT="0" distB="0" distL="114300" distR="114300" simplePos="0" relativeHeight="251655168" behindDoc="1" locked="0" layoutInCell="1" allowOverlap="1" wp14:anchorId="7C90C022" wp14:editId="0AA2087C">
          <wp:simplePos x="0" y="0"/>
          <wp:positionH relativeFrom="page">
            <wp:posOffset>0</wp:posOffset>
          </wp:positionH>
          <wp:positionV relativeFrom="page">
            <wp:posOffset>9613265</wp:posOffset>
          </wp:positionV>
          <wp:extent cx="7560000" cy="1080000"/>
          <wp:effectExtent l="0" t="0" r="0" b="0"/>
          <wp:wrapNone/>
          <wp:docPr id="35" name="Picture 35" descr="A blue and white gradie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5319407" name="Picture 1" descr="A blue and white gradien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BC"/>
    <w:multiLevelType w:val="hybridMultilevel"/>
    <w:tmpl w:val="9E581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1956DB0"/>
    <w:multiLevelType w:val="hybridMultilevel"/>
    <w:tmpl w:val="84FC3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BA687D"/>
    <w:multiLevelType w:val="hybridMultilevel"/>
    <w:tmpl w:val="2BBC35E6"/>
    <w:lvl w:ilvl="0" w:tplc="4C142C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6EF7"/>
    <w:multiLevelType w:val="hybridMultilevel"/>
    <w:tmpl w:val="55F2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42735"/>
    <w:multiLevelType w:val="hybridMultilevel"/>
    <w:tmpl w:val="1C32F6D4"/>
    <w:lvl w:ilvl="0" w:tplc="DB781F1E">
      <w:numFmt w:val="bullet"/>
      <w:lvlText w:val="-"/>
      <w:lvlJc w:val="left"/>
      <w:pPr>
        <w:ind w:left="720" w:hanging="360"/>
      </w:pPr>
      <w:rPr>
        <w:rFonts w:ascii="Ping LCG Regular" w:eastAsiaTheme="minorHAnsi" w:hAnsi="Ping LCG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C727F"/>
    <w:multiLevelType w:val="hybridMultilevel"/>
    <w:tmpl w:val="A5C2B7DE"/>
    <w:lvl w:ilvl="0" w:tplc="9EDCC9D4">
      <w:start w:val="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F1D79"/>
    <w:multiLevelType w:val="hybridMultilevel"/>
    <w:tmpl w:val="A2DEC630"/>
    <w:lvl w:ilvl="0" w:tplc="4F0A8ADE">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CF38C4"/>
    <w:multiLevelType w:val="hybridMultilevel"/>
    <w:tmpl w:val="0A40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F9610B"/>
    <w:multiLevelType w:val="hybridMultilevel"/>
    <w:tmpl w:val="A0DCAA9C"/>
    <w:lvl w:ilvl="0" w:tplc="5AF86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F0A46"/>
    <w:multiLevelType w:val="hybridMultilevel"/>
    <w:tmpl w:val="5718C70C"/>
    <w:lvl w:ilvl="0" w:tplc="9B92B656">
      <w:start w:val="1"/>
      <w:numFmt w:val="bullet"/>
      <w:lvlText w:val="n"/>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B322877"/>
    <w:multiLevelType w:val="hybridMultilevel"/>
    <w:tmpl w:val="5F246BE4"/>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DE707D9"/>
    <w:multiLevelType w:val="hybridMultilevel"/>
    <w:tmpl w:val="84DA23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B4092"/>
    <w:multiLevelType w:val="hybridMultilevel"/>
    <w:tmpl w:val="C3369D3A"/>
    <w:lvl w:ilvl="0" w:tplc="0408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28B7D05"/>
    <w:multiLevelType w:val="hybridMultilevel"/>
    <w:tmpl w:val="C382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76108"/>
    <w:multiLevelType w:val="hybridMultilevel"/>
    <w:tmpl w:val="678037EA"/>
    <w:lvl w:ilvl="0" w:tplc="9B92B656">
      <w:start w:val="1"/>
      <w:numFmt w:val="bullet"/>
      <w:lvlText w:val="n"/>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4"/>
  </w:num>
  <w:num w:numId="4">
    <w:abstractNumId w:val="10"/>
  </w:num>
  <w:num w:numId="5">
    <w:abstractNumId w:val="12"/>
  </w:num>
  <w:num w:numId="6">
    <w:abstractNumId w:val="0"/>
  </w:num>
  <w:num w:numId="7">
    <w:abstractNumId w:val="1"/>
  </w:num>
  <w:num w:numId="8">
    <w:abstractNumId w:val="10"/>
  </w:num>
  <w:num w:numId="9">
    <w:abstractNumId w:val="4"/>
  </w:num>
  <w:num w:numId="10">
    <w:abstractNumId w:val="13"/>
  </w:num>
  <w:num w:numId="11">
    <w:abstractNumId w:val="3"/>
  </w:num>
  <w:num w:numId="12">
    <w:abstractNumId w:val="7"/>
  </w:num>
  <w:num w:numId="13">
    <w:abstractNumId w:val="2"/>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isplayBackgroundShape/>
  <w:hideSpellingErrors/>
  <w:hideGrammaticalErrors/>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2F"/>
    <w:rsid w:val="00000B90"/>
    <w:rsid w:val="00002BC4"/>
    <w:rsid w:val="00005178"/>
    <w:rsid w:val="00005624"/>
    <w:rsid w:val="00005E9F"/>
    <w:rsid w:val="00007045"/>
    <w:rsid w:val="000101DB"/>
    <w:rsid w:val="00014624"/>
    <w:rsid w:val="00015DD1"/>
    <w:rsid w:val="000165C2"/>
    <w:rsid w:val="00016C58"/>
    <w:rsid w:val="00017CA5"/>
    <w:rsid w:val="0002051A"/>
    <w:rsid w:val="000209ED"/>
    <w:rsid w:val="000232F3"/>
    <w:rsid w:val="000243CD"/>
    <w:rsid w:val="00026B5D"/>
    <w:rsid w:val="000278E0"/>
    <w:rsid w:val="0003011A"/>
    <w:rsid w:val="00030616"/>
    <w:rsid w:val="00030C1E"/>
    <w:rsid w:val="00031289"/>
    <w:rsid w:val="00034F16"/>
    <w:rsid w:val="00036594"/>
    <w:rsid w:val="0003750C"/>
    <w:rsid w:val="0003794A"/>
    <w:rsid w:val="00040547"/>
    <w:rsid w:val="000409CC"/>
    <w:rsid w:val="00040BAE"/>
    <w:rsid w:val="00040FC6"/>
    <w:rsid w:val="000410BA"/>
    <w:rsid w:val="00041E01"/>
    <w:rsid w:val="00045E47"/>
    <w:rsid w:val="00050988"/>
    <w:rsid w:val="00051089"/>
    <w:rsid w:val="00053B59"/>
    <w:rsid w:val="00054068"/>
    <w:rsid w:val="0005464C"/>
    <w:rsid w:val="00055837"/>
    <w:rsid w:val="00060702"/>
    <w:rsid w:val="00061DBE"/>
    <w:rsid w:val="000637A1"/>
    <w:rsid w:val="00063B17"/>
    <w:rsid w:val="000659E5"/>
    <w:rsid w:val="000661A6"/>
    <w:rsid w:val="00072349"/>
    <w:rsid w:val="0007285A"/>
    <w:rsid w:val="00072974"/>
    <w:rsid w:val="00072BE3"/>
    <w:rsid w:val="00072D5E"/>
    <w:rsid w:val="00073206"/>
    <w:rsid w:val="000741FF"/>
    <w:rsid w:val="00074864"/>
    <w:rsid w:val="0007492C"/>
    <w:rsid w:val="00076504"/>
    <w:rsid w:val="0007678F"/>
    <w:rsid w:val="0007681F"/>
    <w:rsid w:val="0007684C"/>
    <w:rsid w:val="00076DA3"/>
    <w:rsid w:val="00080EE3"/>
    <w:rsid w:val="00080FDE"/>
    <w:rsid w:val="0008133F"/>
    <w:rsid w:val="0008681E"/>
    <w:rsid w:val="00086DC2"/>
    <w:rsid w:val="000873B5"/>
    <w:rsid w:val="00090A25"/>
    <w:rsid w:val="00092366"/>
    <w:rsid w:val="00092432"/>
    <w:rsid w:val="00092554"/>
    <w:rsid w:val="00092D74"/>
    <w:rsid w:val="000956DB"/>
    <w:rsid w:val="000A094C"/>
    <w:rsid w:val="000A0D52"/>
    <w:rsid w:val="000A15C8"/>
    <w:rsid w:val="000A3229"/>
    <w:rsid w:val="000A3B4B"/>
    <w:rsid w:val="000A3F52"/>
    <w:rsid w:val="000A629B"/>
    <w:rsid w:val="000A6531"/>
    <w:rsid w:val="000A6654"/>
    <w:rsid w:val="000A72F6"/>
    <w:rsid w:val="000A7890"/>
    <w:rsid w:val="000B2EE4"/>
    <w:rsid w:val="000B3BE4"/>
    <w:rsid w:val="000B443A"/>
    <w:rsid w:val="000B4E8D"/>
    <w:rsid w:val="000B54A7"/>
    <w:rsid w:val="000B5524"/>
    <w:rsid w:val="000B699B"/>
    <w:rsid w:val="000C60EB"/>
    <w:rsid w:val="000C6D79"/>
    <w:rsid w:val="000C7505"/>
    <w:rsid w:val="000C7A5D"/>
    <w:rsid w:val="000D07AC"/>
    <w:rsid w:val="000D08D5"/>
    <w:rsid w:val="000D11C1"/>
    <w:rsid w:val="000D1FE0"/>
    <w:rsid w:val="000D3BD7"/>
    <w:rsid w:val="000D3D64"/>
    <w:rsid w:val="000D3DFA"/>
    <w:rsid w:val="000D4319"/>
    <w:rsid w:val="000D7232"/>
    <w:rsid w:val="000D7BB4"/>
    <w:rsid w:val="000E2219"/>
    <w:rsid w:val="000E2A03"/>
    <w:rsid w:val="000E2AB0"/>
    <w:rsid w:val="000E373D"/>
    <w:rsid w:val="000E6E0A"/>
    <w:rsid w:val="000F023D"/>
    <w:rsid w:val="000F057B"/>
    <w:rsid w:val="000F08F9"/>
    <w:rsid w:val="000F4506"/>
    <w:rsid w:val="000F5BA2"/>
    <w:rsid w:val="000F7A11"/>
    <w:rsid w:val="000F7B34"/>
    <w:rsid w:val="001001C5"/>
    <w:rsid w:val="00100561"/>
    <w:rsid w:val="00103CB6"/>
    <w:rsid w:val="0010465B"/>
    <w:rsid w:val="00107392"/>
    <w:rsid w:val="00107D01"/>
    <w:rsid w:val="001102B3"/>
    <w:rsid w:val="00111036"/>
    <w:rsid w:val="00111800"/>
    <w:rsid w:val="0011253D"/>
    <w:rsid w:val="00117FD9"/>
    <w:rsid w:val="00121D18"/>
    <w:rsid w:val="00121F51"/>
    <w:rsid w:val="00122AFD"/>
    <w:rsid w:val="001230C9"/>
    <w:rsid w:val="0012452D"/>
    <w:rsid w:val="00125B68"/>
    <w:rsid w:val="00126B94"/>
    <w:rsid w:val="0012748E"/>
    <w:rsid w:val="0013255B"/>
    <w:rsid w:val="00132FFB"/>
    <w:rsid w:val="00133441"/>
    <w:rsid w:val="00134057"/>
    <w:rsid w:val="0014283C"/>
    <w:rsid w:val="00143285"/>
    <w:rsid w:val="00146990"/>
    <w:rsid w:val="00147140"/>
    <w:rsid w:val="001505F5"/>
    <w:rsid w:val="00157C44"/>
    <w:rsid w:val="00161969"/>
    <w:rsid w:val="001625B2"/>
    <w:rsid w:val="00162E3D"/>
    <w:rsid w:val="00163043"/>
    <w:rsid w:val="001642BA"/>
    <w:rsid w:val="0016613B"/>
    <w:rsid w:val="0016638B"/>
    <w:rsid w:val="00166D48"/>
    <w:rsid w:val="001708D6"/>
    <w:rsid w:val="00170B56"/>
    <w:rsid w:val="00171B20"/>
    <w:rsid w:val="0017396F"/>
    <w:rsid w:val="00173DCE"/>
    <w:rsid w:val="00174504"/>
    <w:rsid w:val="00174C59"/>
    <w:rsid w:val="00176056"/>
    <w:rsid w:val="001816CC"/>
    <w:rsid w:val="00183957"/>
    <w:rsid w:val="001850D3"/>
    <w:rsid w:val="0018622C"/>
    <w:rsid w:val="001874AA"/>
    <w:rsid w:val="00190017"/>
    <w:rsid w:val="00190D6D"/>
    <w:rsid w:val="00191016"/>
    <w:rsid w:val="00192181"/>
    <w:rsid w:val="00192557"/>
    <w:rsid w:val="00194B84"/>
    <w:rsid w:val="00195264"/>
    <w:rsid w:val="001A1492"/>
    <w:rsid w:val="001A2A4C"/>
    <w:rsid w:val="001A3BC4"/>
    <w:rsid w:val="001A4A19"/>
    <w:rsid w:val="001A7ACE"/>
    <w:rsid w:val="001B100F"/>
    <w:rsid w:val="001B201D"/>
    <w:rsid w:val="001B472B"/>
    <w:rsid w:val="001B69BA"/>
    <w:rsid w:val="001C14E1"/>
    <w:rsid w:val="001C15E7"/>
    <w:rsid w:val="001C3233"/>
    <w:rsid w:val="001C3368"/>
    <w:rsid w:val="001C3371"/>
    <w:rsid w:val="001C4C01"/>
    <w:rsid w:val="001C5425"/>
    <w:rsid w:val="001C6903"/>
    <w:rsid w:val="001D0FB7"/>
    <w:rsid w:val="001D1CB1"/>
    <w:rsid w:val="001D1CCC"/>
    <w:rsid w:val="001D1EFC"/>
    <w:rsid w:val="001D2A8F"/>
    <w:rsid w:val="001D2EE1"/>
    <w:rsid w:val="001D2FF9"/>
    <w:rsid w:val="001D3164"/>
    <w:rsid w:val="001D3750"/>
    <w:rsid w:val="001D3C35"/>
    <w:rsid w:val="001D5804"/>
    <w:rsid w:val="001D69D3"/>
    <w:rsid w:val="001D7437"/>
    <w:rsid w:val="001E0533"/>
    <w:rsid w:val="001E4243"/>
    <w:rsid w:val="001E49ED"/>
    <w:rsid w:val="001E5697"/>
    <w:rsid w:val="001E5FEB"/>
    <w:rsid w:val="001F27B0"/>
    <w:rsid w:val="001F329F"/>
    <w:rsid w:val="001F3C18"/>
    <w:rsid w:val="001F3CA2"/>
    <w:rsid w:val="001F6905"/>
    <w:rsid w:val="00200C60"/>
    <w:rsid w:val="00202DD9"/>
    <w:rsid w:val="002055C7"/>
    <w:rsid w:val="00205CC6"/>
    <w:rsid w:val="00207CC9"/>
    <w:rsid w:val="00211264"/>
    <w:rsid w:val="002123EE"/>
    <w:rsid w:val="0021295A"/>
    <w:rsid w:val="00214332"/>
    <w:rsid w:val="00216201"/>
    <w:rsid w:val="002203CF"/>
    <w:rsid w:val="002204FE"/>
    <w:rsid w:val="0022072C"/>
    <w:rsid w:val="00220A48"/>
    <w:rsid w:val="00224F9B"/>
    <w:rsid w:val="0022642C"/>
    <w:rsid w:val="00226707"/>
    <w:rsid w:val="0023099A"/>
    <w:rsid w:val="00230CEB"/>
    <w:rsid w:val="00231480"/>
    <w:rsid w:val="002318FF"/>
    <w:rsid w:val="00232DF1"/>
    <w:rsid w:val="002337A0"/>
    <w:rsid w:val="00236416"/>
    <w:rsid w:val="00237040"/>
    <w:rsid w:val="002372FC"/>
    <w:rsid w:val="002376E2"/>
    <w:rsid w:val="0023794F"/>
    <w:rsid w:val="002401A4"/>
    <w:rsid w:val="00240929"/>
    <w:rsid w:val="00241BB1"/>
    <w:rsid w:val="00242C55"/>
    <w:rsid w:val="00243A73"/>
    <w:rsid w:val="00243FEA"/>
    <w:rsid w:val="0024458B"/>
    <w:rsid w:val="0024686A"/>
    <w:rsid w:val="0024698B"/>
    <w:rsid w:val="00247E06"/>
    <w:rsid w:val="0025066A"/>
    <w:rsid w:val="002524D7"/>
    <w:rsid w:val="002525D6"/>
    <w:rsid w:val="0025278D"/>
    <w:rsid w:val="00253B09"/>
    <w:rsid w:val="002540CD"/>
    <w:rsid w:val="00255924"/>
    <w:rsid w:val="00261171"/>
    <w:rsid w:val="00261D10"/>
    <w:rsid w:val="00262DAE"/>
    <w:rsid w:val="00262F85"/>
    <w:rsid w:val="00263FB4"/>
    <w:rsid w:val="00264798"/>
    <w:rsid w:val="00266A9F"/>
    <w:rsid w:val="00271726"/>
    <w:rsid w:val="00272E40"/>
    <w:rsid w:val="00273E62"/>
    <w:rsid w:val="0027444B"/>
    <w:rsid w:val="00274A68"/>
    <w:rsid w:val="00277187"/>
    <w:rsid w:val="002851CF"/>
    <w:rsid w:val="0028549C"/>
    <w:rsid w:val="002855F5"/>
    <w:rsid w:val="00285CA5"/>
    <w:rsid w:val="002874BE"/>
    <w:rsid w:val="00287C63"/>
    <w:rsid w:val="002931ED"/>
    <w:rsid w:val="00296610"/>
    <w:rsid w:val="00297579"/>
    <w:rsid w:val="002A01AE"/>
    <w:rsid w:val="002A11F8"/>
    <w:rsid w:val="002A149F"/>
    <w:rsid w:val="002A311A"/>
    <w:rsid w:val="002A312A"/>
    <w:rsid w:val="002A471A"/>
    <w:rsid w:val="002B071E"/>
    <w:rsid w:val="002B09B5"/>
    <w:rsid w:val="002B19A2"/>
    <w:rsid w:val="002B1C64"/>
    <w:rsid w:val="002B2B94"/>
    <w:rsid w:val="002B3892"/>
    <w:rsid w:val="002B3FAD"/>
    <w:rsid w:val="002B60E5"/>
    <w:rsid w:val="002B70E8"/>
    <w:rsid w:val="002C0FF0"/>
    <w:rsid w:val="002C4A9D"/>
    <w:rsid w:val="002C7C46"/>
    <w:rsid w:val="002D1E3A"/>
    <w:rsid w:val="002D43DD"/>
    <w:rsid w:val="002D5BE3"/>
    <w:rsid w:val="002D6743"/>
    <w:rsid w:val="002E18F3"/>
    <w:rsid w:val="002E2732"/>
    <w:rsid w:val="002E3E99"/>
    <w:rsid w:val="002E596B"/>
    <w:rsid w:val="002E5C29"/>
    <w:rsid w:val="002E678D"/>
    <w:rsid w:val="002E6B7E"/>
    <w:rsid w:val="002F0F82"/>
    <w:rsid w:val="002F11D2"/>
    <w:rsid w:val="002F235F"/>
    <w:rsid w:val="003000F5"/>
    <w:rsid w:val="003003C3"/>
    <w:rsid w:val="00302380"/>
    <w:rsid w:val="00302F38"/>
    <w:rsid w:val="003048AC"/>
    <w:rsid w:val="00305FD2"/>
    <w:rsid w:val="0030660D"/>
    <w:rsid w:val="00306C30"/>
    <w:rsid w:val="003076FF"/>
    <w:rsid w:val="00307EB8"/>
    <w:rsid w:val="00312814"/>
    <w:rsid w:val="00313A28"/>
    <w:rsid w:val="0031412B"/>
    <w:rsid w:val="003168E2"/>
    <w:rsid w:val="00316B8F"/>
    <w:rsid w:val="0031737D"/>
    <w:rsid w:val="0031761B"/>
    <w:rsid w:val="00317DEB"/>
    <w:rsid w:val="0032013B"/>
    <w:rsid w:val="00320C53"/>
    <w:rsid w:val="0032184F"/>
    <w:rsid w:val="00322D3C"/>
    <w:rsid w:val="00323439"/>
    <w:rsid w:val="00323529"/>
    <w:rsid w:val="00325C06"/>
    <w:rsid w:val="003276E9"/>
    <w:rsid w:val="00332655"/>
    <w:rsid w:val="00333A95"/>
    <w:rsid w:val="00333E23"/>
    <w:rsid w:val="003359F7"/>
    <w:rsid w:val="00336CA8"/>
    <w:rsid w:val="00341394"/>
    <w:rsid w:val="00342DFE"/>
    <w:rsid w:val="00343E17"/>
    <w:rsid w:val="003448EC"/>
    <w:rsid w:val="00345E65"/>
    <w:rsid w:val="00346DE9"/>
    <w:rsid w:val="00347332"/>
    <w:rsid w:val="00351929"/>
    <w:rsid w:val="00352EC2"/>
    <w:rsid w:val="00353A25"/>
    <w:rsid w:val="00354A7A"/>
    <w:rsid w:val="00355D00"/>
    <w:rsid w:val="00356860"/>
    <w:rsid w:val="00356C5A"/>
    <w:rsid w:val="00356CE0"/>
    <w:rsid w:val="003665EA"/>
    <w:rsid w:val="00367E94"/>
    <w:rsid w:val="003707A5"/>
    <w:rsid w:val="00370F77"/>
    <w:rsid w:val="003726BB"/>
    <w:rsid w:val="003730F5"/>
    <w:rsid w:val="00373B2C"/>
    <w:rsid w:val="00382385"/>
    <w:rsid w:val="00382A02"/>
    <w:rsid w:val="00382EF8"/>
    <w:rsid w:val="00383DE3"/>
    <w:rsid w:val="00384B7B"/>
    <w:rsid w:val="00384E4D"/>
    <w:rsid w:val="00385144"/>
    <w:rsid w:val="00385B4B"/>
    <w:rsid w:val="00386C81"/>
    <w:rsid w:val="00387229"/>
    <w:rsid w:val="00387D47"/>
    <w:rsid w:val="00390668"/>
    <w:rsid w:val="0039068D"/>
    <w:rsid w:val="00392A97"/>
    <w:rsid w:val="003937EE"/>
    <w:rsid w:val="00394393"/>
    <w:rsid w:val="00395967"/>
    <w:rsid w:val="003A33EC"/>
    <w:rsid w:val="003A3F7A"/>
    <w:rsid w:val="003A43C9"/>
    <w:rsid w:val="003A4D8D"/>
    <w:rsid w:val="003A603D"/>
    <w:rsid w:val="003A7339"/>
    <w:rsid w:val="003A7AC0"/>
    <w:rsid w:val="003B1FAB"/>
    <w:rsid w:val="003B271E"/>
    <w:rsid w:val="003B45C3"/>
    <w:rsid w:val="003B5C00"/>
    <w:rsid w:val="003B6632"/>
    <w:rsid w:val="003B6BDF"/>
    <w:rsid w:val="003C0CE0"/>
    <w:rsid w:val="003C0D82"/>
    <w:rsid w:val="003C19F3"/>
    <w:rsid w:val="003C25FB"/>
    <w:rsid w:val="003C2680"/>
    <w:rsid w:val="003C335F"/>
    <w:rsid w:val="003C3AAD"/>
    <w:rsid w:val="003C4657"/>
    <w:rsid w:val="003C4ACD"/>
    <w:rsid w:val="003C5304"/>
    <w:rsid w:val="003C6286"/>
    <w:rsid w:val="003D1BEF"/>
    <w:rsid w:val="003D499B"/>
    <w:rsid w:val="003D5BE9"/>
    <w:rsid w:val="003D6ABF"/>
    <w:rsid w:val="003E01F2"/>
    <w:rsid w:val="003E0F5C"/>
    <w:rsid w:val="003E107C"/>
    <w:rsid w:val="003E1B44"/>
    <w:rsid w:val="003E36E9"/>
    <w:rsid w:val="003E5984"/>
    <w:rsid w:val="003E59F8"/>
    <w:rsid w:val="003F4E9D"/>
    <w:rsid w:val="003F5E2B"/>
    <w:rsid w:val="003F6A0F"/>
    <w:rsid w:val="003F6B06"/>
    <w:rsid w:val="003F6FFB"/>
    <w:rsid w:val="004002D9"/>
    <w:rsid w:val="004020B4"/>
    <w:rsid w:val="004032D2"/>
    <w:rsid w:val="00403C95"/>
    <w:rsid w:val="00404181"/>
    <w:rsid w:val="0040482E"/>
    <w:rsid w:val="00404892"/>
    <w:rsid w:val="00405C6C"/>
    <w:rsid w:val="00406E2C"/>
    <w:rsid w:val="00406F3A"/>
    <w:rsid w:val="004070C0"/>
    <w:rsid w:val="004118F1"/>
    <w:rsid w:val="0041199A"/>
    <w:rsid w:val="00412E4D"/>
    <w:rsid w:val="004137DE"/>
    <w:rsid w:val="00413876"/>
    <w:rsid w:val="00413A11"/>
    <w:rsid w:val="00416022"/>
    <w:rsid w:val="0041606E"/>
    <w:rsid w:val="00425379"/>
    <w:rsid w:val="004256CF"/>
    <w:rsid w:val="00425EAB"/>
    <w:rsid w:val="00431018"/>
    <w:rsid w:val="00431399"/>
    <w:rsid w:val="004330D1"/>
    <w:rsid w:val="00437EE6"/>
    <w:rsid w:val="00440074"/>
    <w:rsid w:val="00440835"/>
    <w:rsid w:val="00440A5E"/>
    <w:rsid w:val="0044282B"/>
    <w:rsid w:val="00443C75"/>
    <w:rsid w:val="004444B0"/>
    <w:rsid w:val="00445510"/>
    <w:rsid w:val="00445FFE"/>
    <w:rsid w:val="00446A75"/>
    <w:rsid w:val="004479EE"/>
    <w:rsid w:val="00447D68"/>
    <w:rsid w:val="00447F08"/>
    <w:rsid w:val="00454771"/>
    <w:rsid w:val="0045530D"/>
    <w:rsid w:val="00456FE0"/>
    <w:rsid w:val="00457E1E"/>
    <w:rsid w:val="004622D5"/>
    <w:rsid w:val="004627FC"/>
    <w:rsid w:val="00463FA5"/>
    <w:rsid w:val="00464639"/>
    <w:rsid w:val="00466898"/>
    <w:rsid w:val="00466FD7"/>
    <w:rsid w:val="0046759F"/>
    <w:rsid w:val="004709DF"/>
    <w:rsid w:val="00471166"/>
    <w:rsid w:val="004714A2"/>
    <w:rsid w:val="00471933"/>
    <w:rsid w:val="00471CC9"/>
    <w:rsid w:val="00476A53"/>
    <w:rsid w:val="004808B3"/>
    <w:rsid w:val="00480D18"/>
    <w:rsid w:val="0048285C"/>
    <w:rsid w:val="004831A5"/>
    <w:rsid w:val="00484C58"/>
    <w:rsid w:val="00487032"/>
    <w:rsid w:val="004870D9"/>
    <w:rsid w:val="004940B2"/>
    <w:rsid w:val="00494DEA"/>
    <w:rsid w:val="00495518"/>
    <w:rsid w:val="00496D70"/>
    <w:rsid w:val="004A487F"/>
    <w:rsid w:val="004A5BC5"/>
    <w:rsid w:val="004A7315"/>
    <w:rsid w:val="004A7C90"/>
    <w:rsid w:val="004B1021"/>
    <w:rsid w:val="004B12A5"/>
    <w:rsid w:val="004B12ED"/>
    <w:rsid w:val="004B328F"/>
    <w:rsid w:val="004B32BA"/>
    <w:rsid w:val="004B6EF6"/>
    <w:rsid w:val="004B7A61"/>
    <w:rsid w:val="004C1753"/>
    <w:rsid w:val="004C2380"/>
    <w:rsid w:val="004C42A5"/>
    <w:rsid w:val="004C45B1"/>
    <w:rsid w:val="004C5202"/>
    <w:rsid w:val="004C5D54"/>
    <w:rsid w:val="004C6E3E"/>
    <w:rsid w:val="004C6F00"/>
    <w:rsid w:val="004D2556"/>
    <w:rsid w:val="004D2A7F"/>
    <w:rsid w:val="004D38C1"/>
    <w:rsid w:val="004D592C"/>
    <w:rsid w:val="004D6715"/>
    <w:rsid w:val="004E1619"/>
    <w:rsid w:val="004E2199"/>
    <w:rsid w:val="004E3B86"/>
    <w:rsid w:val="004E46BC"/>
    <w:rsid w:val="004E4CD9"/>
    <w:rsid w:val="004E60AB"/>
    <w:rsid w:val="004E690F"/>
    <w:rsid w:val="004E6A31"/>
    <w:rsid w:val="004E6B83"/>
    <w:rsid w:val="004E7CE8"/>
    <w:rsid w:val="004F133B"/>
    <w:rsid w:val="004F2396"/>
    <w:rsid w:val="004F243B"/>
    <w:rsid w:val="004F2552"/>
    <w:rsid w:val="004F3C17"/>
    <w:rsid w:val="004F41F8"/>
    <w:rsid w:val="004F421D"/>
    <w:rsid w:val="004F57C9"/>
    <w:rsid w:val="0050032B"/>
    <w:rsid w:val="00503434"/>
    <w:rsid w:val="00504205"/>
    <w:rsid w:val="005044D3"/>
    <w:rsid w:val="005051F0"/>
    <w:rsid w:val="00507159"/>
    <w:rsid w:val="00510897"/>
    <w:rsid w:val="00514A01"/>
    <w:rsid w:val="00514C82"/>
    <w:rsid w:val="0052195E"/>
    <w:rsid w:val="00523F59"/>
    <w:rsid w:val="005304E1"/>
    <w:rsid w:val="005307CB"/>
    <w:rsid w:val="00532226"/>
    <w:rsid w:val="00534941"/>
    <w:rsid w:val="005371B0"/>
    <w:rsid w:val="0054172F"/>
    <w:rsid w:val="00544CB4"/>
    <w:rsid w:val="005470B8"/>
    <w:rsid w:val="0055059D"/>
    <w:rsid w:val="00551F33"/>
    <w:rsid w:val="005568A3"/>
    <w:rsid w:val="00561089"/>
    <w:rsid w:val="00562254"/>
    <w:rsid w:val="00564998"/>
    <w:rsid w:val="005655DF"/>
    <w:rsid w:val="005675C4"/>
    <w:rsid w:val="00567DD9"/>
    <w:rsid w:val="00570E29"/>
    <w:rsid w:val="00570F3F"/>
    <w:rsid w:val="005711ED"/>
    <w:rsid w:val="0057217D"/>
    <w:rsid w:val="005734C9"/>
    <w:rsid w:val="00574417"/>
    <w:rsid w:val="00574A3A"/>
    <w:rsid w:val="005776B0"/>
    <w:rsid w:val="00580B93"/>
    <w:rsid w:val="00582486"/>
    <w:rsid w:val="00582AEB"/>
    <w:rsid w:val="00583C01"/>
    <w:rsid w:val="00587040"/>
    <w:rsid w:val="005870C6"/>
    <w:rsid w:val="00587589"/>
    <w:rsid w:val="00587E9D"/>
    <w:rsid w:val="005935B3"/>
    <w:rsid w:val="00593C3D"/>
    <w:rsid w:val="005946C1"/>
    <w:rsid w:val="00595117"/>
    <w:rsid w:val="00596247"/>
    <w:rsid w:val="005A57C8"/>
    <w:rsid w:val="005A64D1"/>
    <w:rsid w:val="005A750B"/>
    <w:rsid w:val="005A7670"/>
    <w:rsid w:val="005A7877"/>
    <w:rsid w:val="005A7C5A"/>
    <w:rsid w:val="005B202D"/>
    <w:rsid w:val="005B237B"/>
    <w:rsid w:val="005B3641"/>
    <w:rsid w:val="005B3CDC"/>
    <w:rsid w:val="005B63C2"/>
    <w:rsid w:val="005C0574"/>
    <w:rsid w:val="005C3FF2"/>
    <w:rsid w:val="005C4B28"/>
    <w:rsid w:val="005C624D"/>
    <w:rsid w:val="005C676B"/>
    <w:rsid w:val="005C7E64"/>
    <w:rsid w:val="005D02E4"/>
    <w:rsid w:val="005D0D8C"/>
    <w:rsid w:val="005D1A21"/>
    <w:rsid w:val="005D1D80"/>
    <w:rsid w:val="005D1DAC"/>
    <w:rsid w:val="005D2884"/>
    <w:rsid w:val="005D35A3"/>
    <w:rsid w:val="005D3CB9"/>
    <w:rsid w:val="005D61D1"/>
    <w:rsid w:val="005D639B"/>
    <w:rsid w:val="005D72CA"/>
    <w:rsid w:val="005D7E8D"/>
    <w:rsid w:val="005E0998"/>
    <w:rsid w:val="005E1110"/>
    <w:rsid w:val="005E126D"/>
    <w:rsid w:val="005E16B9"/>
    <w:rsid w:val="005E2291"/>
    <w:rsid w:val="005E2F73"/>
    <w:rsid w:val="005E369E"/>
    <w:rsid w:val="005E3946"/>
    <w:rsid w:val="005E3E88"/>
    <w:rsid w:val="005E5AB2"/>
    <w:rsid w:val="005E6308"/>
    <w:rsid w:val="005E6317"/>
    <w:rsid w:val="005E6C6B"/>
    <w:rsid w:val="005E7D5C"/>
    <w:rsid w:val="005F14A2"/>
    <w:rsid w:val="005F2FBE"/>
    <w:rsid w:val="005F4212"/>
    <w:rsid w:val="005F46B5"/>
    <w:rsid w:val="005F5840"/>
    <w:rsid w:val="006004D2"/>
    <w:rsid w:val="00600E6A"/>
    <w:rsid w:val="00601607"/>
    <w:rsid w:val="00601B88"/>
    <w:rsid w:val="006025FD"/>
    <w:rsid w:val="006027E4"/>
    <w:rsid w:val="006040AC"/>
    <w:rsid w:val="00604740"/>
    <w:rsid w:val="00604CEC"/>
    <w:rsid w:val="00611F37"/>
    <w:rsid w:val="006160EB"/>
    <w:rsid w:val="00616245"/>
    <w:rsid w:val="0061628A"/>
    <w:rsid w:val="006175FD"/>
    <w:rsid w:val="006176FD"/>
    <w:rsid w:val="00617E01"/>
    <w:rsid w:val="00620BC3"/>
    <w:rsid w:val="00623061"/>
    <w:rsid w:val="00624631"/>
    <w:rsid w:val="0062759B"/>
    <w:rsid w:val="006309DF"/>
    <w:rsid w:val="00630CDB"/>
    <w:rsid w:val="006341A7"/>
    <w:rsid w:val="00634E4A"/>
    <w:rsid w:val="00637EA8"/>
    <w:rsid w:val="00640A4D"/>
    <w:rsid w:val="00641518"/>
    <w:rsid w:val="00642A57"/>
    <w:rsid w:val="00644CC0"/>
    <w:rsid w:val="00645E47"/>
    <w:rsid w:val="0064679F"/>
    <w:rsid w:val="00646E6A"/>
    <w:rsid w:val="00647D8B"/>
    <w:rsid w:val="006511A3"/>
    <w:rsid w:val="0065261F"/>
    <w:rsid w:val="006539DF"/>
    <w:rsid w:val="00655791"/>
    <w:rsid w:val="00655D02"/>
    <w:rsid w:val="00661E9E"/>
    <w:rsid w:val="00662841"/>
    <w:rsid w:val="00663E66"/>
    <w:rsid w:val="006647C7"/>
    <w:rsid w:val="00666E9A"/>
    <w:rsid w:val="0066763C"/>
    <w:rsid w:val="0067104B"/>
    <w:rsid w:val="0067291A"/>
    <w:rsid w:val="00672D14"/>
    <w:rsid w:val="006732AC"/>
    <w:rsid w:val="00674638"/>
    <w:rsid w:val="00675869"/>
    <w:rsid w:val="0067597B"/>
    <w:rsid w:val="00675AA2"/>
    <w:rsid w:val="00676B0E"/>
    <w:rsid w:val="00677CE8"/>
    <w:rsid w:val="0068059A"/>
    <w:rsid w:val="0068157B"/>
    <w:rsid w:val="00681DA5"/>
    <w:rsid w:val="00683AE0"/>
    <w:rsid w:val="00684FA4"/>
    <w:rsid w:val="00686B85"/>
    <w:rsid w:val="00691C18"/>
    <w:rsid w:val="00692219"/>
    <w:rsid w:val="006937C9"/>
    <w:rsid w:val="00694E3B"/>
    <w:rsid w:val="0069775B"/>
    <w:rsid w:val="00697DE3"/>
    <w:rsid w:val="006A165E"/>
    <w:rsid w:val="006A20F2"/>
    <w:rsid w:val="006A2E05"/>
    <w:rsid w:val="006A34A6"/>
    <w:rsid w:val="006A3649"/>
    <w:rsid w:val="006A438F"/>
    <w:rsid w:val="006B0F22"/>
    <w:rsid w:val="006B3438"/>
    <w:rsid w:val="006B5275"/>
    <w:rsid w:val="006B5C06"/>
    <w:rsid w:val="006B6277"/>
    <w:rsid w:val="006B67BD"/>
    <w:rsid w:val="006B6D41"/>
    <w:rsid w:val="006B7BFB"/>
    <w:rsid w:val="006C05DE"/>
    <w:rsid w:val="006C0838"/>
    <w:rsid w:val="006C0ABF"/>
    <w:rsid w:val="006C0CFB"/>
    <w:rsid w:val="006C542F"/>
    <w:rsid w:val="006C72BD"/>
    <w:rsid w:val="006D3159"/>
    <w:rsid w:val="006D4FCA"/>
    <w:rsid w:val="006D6547"/>
    <w:rsid w:val="006D65BD"/>
    <w:rsid w:val="006D739E"/>
    <w:rsid w:val="006D7A27"/>
    <w:rsid w:val="006E26AC"/>
    <w:rsid w:val="006E3A53"/>
    <w:rsid w:val="006E47E6"/>
    <w:rsid w:val="006E590E"/>
    <w:rsid w:val="006E5E39"/>
    <w:rsid w:val="006E65F8"/>
    <w:rsid w:val="006F09EE"/>
    <w:rsid w:val="006F3A45"/>
    <w:rsid w:val="006F53D9"/>
    <w:rsid w:val="006F78FA"/>
    <w:rsid w:val="00702839"/>
    <w:rsid w:val="00704AA0"/>
    <w:rsid w:val="00705B77"/>
    <w:rsid w:val="00705C77"/>
    <w:rsid w:val="00706F19"/>
    <w:rsid w:val="00712948"/>
    <w:rsid w:val="00714052"/>
    <w:rsid w:val="007148E3"/>
    <w:rsid w:val="00717529"/>
    <w:rsid w:val="007205D4"/>
    <w:rsid w:val="007209AD"/>
    <w:rsid w:val="007223E5"/>
    <w:rsid w:val="00723748"/>
    <w:rsid w:val="00723D85"/>
    <w:rsid w:val="00724B44"/>
    <w:rsid w:val="0072570A"/>
    <w:rsid w:val="0073164F"/>
    <w:rsid w:val="00732823"/>
    <w:rsid w:val="00732B9F"/>
    <w:rsid w:val="00733905"/>
    <w:rsid w:val="00734C68"/>
    <w:rsid w:val="00735D22"/>
    <w:rsid w:val="00735E46"/>
    <w:rsid w:val="0073626F"/>
    <w:rsid w:val="00737479"/>
    <w:rsid w:val="00740098"/>
    <w:rsid w:val="00740370"/>
    <w:rsid w:val="00742B61"/>
    <w:rsid w:val="00743684"/>
    <w:rsid w:val="00744E9E"/>
    <w:rsid w:val="00745365"/>
    <w:rsid w:val="0074600C"/>
    <w:rsid w:val="0075082F"/>
    <w:rsid w:val="007509E2"/>
    <w:rsid w:val="007541EF"/>
    <w:rsid w:val="00756841"/>
    <w:rsid w:val="00756E8F"/>
    <w:rsid w:val="00757184"/>
    <w:rsid w:val="00757686"/>
    <w:rsid w:val="007617F3"/>
    <w:rsid w:val="00761E60"/>
    <w:rsid w:val="00764096"/>
    <w:rsid w:val="007662DA"/>
    <w:rsid w:val="00766D15"/>
    <w:rsid w:val="00767320"/>
    <w:rsid w:val="0077100E"/>
    <w:rsid w:val="00771C2F"/>
    <w:rsid w:val="00772600"/>
    <w:rsid w:val="00773F58"/>
    <w:rsid w:val="007752AF"/>
    <w:rsid w:val="00776366"/>
    <w:rsid w:val="00780A9F"/>
    <w:rsid w:val="00780ED7"/>
    <w:rsid w:val="00781233"/>
    <w:rsid w:val="007842F6"/>
    <w:rsid w:val="00784342"/>
    <w:rsid w:val="00784835"/>
    <w:rsid w:val="007876C2"/>
    <w:rsid w:val="00790DBB"/>
    <w:rsid w:val="00794E01"/>
    <w:rsid w:val="007A06A3"/>
    <w:rsid w:val="007A0FE6"/>
    <w:rsid w:val="007A1C51"/>
    <w:rsid w:val="007A3185"/>
    <w:rsid w:val="007A62D9"/>
    <w:rsid w:val="007A7876"/>
    <w:rsid w:val="007B4676"/>
    <w:rsid w:val="007B56BE"/>
    <w:rsid w:val="007B74F9"/>
    <w:rsid w:val="007C09EB"/>
    <w:rsid w:val="007C3454"/>
    <w:rsid w:val="007C42D5"/>
    <w:rsid w:val="007C4E56"/>
    <w:rsid w:val="007D0066"/>
    <w:rsid w:val="007D0E76"/>
    <w:rsid w:val="007D3DE4"/>
    <w:rsid w:val="007D71B0"/>
    <w:rsid w:val="007E0F40"/>
    <w:rsid w:val="007E144A"/>
    <w:rsid w:val="007E156C"/>
    <w:rsid w:val="007E23FD"/>
    <w:rsid w:val="007E2A7C"/>
    <w:rsid w:val="007E607C"/>
    <w:rsid w:val="007E6F20"/>
    <w:rsid w:val="007F1A3B"/>
    <w:rsid w:val="007F1AC5"/>
    <w:rsid w:val="007F1E59"/>
    <w:rsid w:val="007F2B3A"/>
    <w:rsid w:val="007F2F71"/>
    <w:rsid w:val="007F3FC5"/>
    <w:rsid w:val="007F6A1A"/>
    <w:rsid w:val="007F7D00"/>
    <w:rsid w:val="00800FBC"/>
    <w:rsid w:val="00801B23"/>
    <w:rsid w:val="00803595"/>
    <w:rsid w:val="0080532B"/>
    <w:rsid w:val="008056F7"/>
    <w:rsid w:val="00805811"/>
    <w:rsid w:val="008062EA"/>
    <w:rsid w:val="00807CCB"/>
    <w:rsid w:val="00812ACF"/>
    <w:rsid w:val="00812B5A"/>
    <w:rsid w:val="00814B89"/>
    <w:rsid w:val="00816F40"/>
    <w:rsid w:val="00817673"/>
    <w:rsid w:val="00822EA6"/>
    <w:rsid w:val="00823536"/>
    <w:rsid w:val="00824622"/>
    <w:rsid w:val="00827033"/>
    <w:rsid w:val="008279A5"/>
    <w:rsid w:val="008303EF"/>
    <w:rsid w:val="0083198D"/>
    <w:rsid w:val="00832124"/>
    <w:rsid w:val="0083293A"/>
    <w:rsid w:val="00833370"/>
    <w:rsid w:val="008350A3"/>
    <w:rsid w:val="00836E82"/>
    <w:rsid w:val="0084042B"/>
    <w:rsid w:val="00841D1E"/>
    <w:rsid w:val="00841E05"/>
    <w:rsid w:val="008431E9"/>
    <w:rsid w:val="008444F7"/>
    <w:rsid w:val="00844AC5"/>
    <w:rsid w:val="00845311"/>
    <w:rsid w:val="008456DD"/>
    <w:rsid w:val="00846DAB"/>
    <w:rsid w:val="008478E4"/>
    <w:rsid w:val="00855090"/>
    <w:rsid w:val="00855274"/>
    <w:rsid w:val="008552E1"/>
    <w:rsid w:val="00855C9F"/>
    <w:rsid w:val="0086156A"/>
    <w:rsid w:val="00862335"/>
    <w:rsid w:val="00866A46"/>
    <w:rsid w:val="00866CFF"/>
    <w:rsid w:val="00870282"/>
    <w:rsid w:val="0087030B"/>
    <w:rsid w:val="0087059A"/>
    <w:rsid w:val="00870F9B"/>
    <w:rsid w:val="00873450"/>
    <w:rsid w:val="00873EF4"/>
    <w:rsid w:val="0087623D"/>
    <w:rsid w:val="0088141A"/>
    <w:rsid w:val="00882356"/>
    <w:rsid w:val="00884D6A"/>
    <w:rsid w:val="00884F28"/>
    <w:rsid w:val="00887F12"/>
    <w:rsid w:val="00896B1A"/>
    <w:rsid w:val="00897BA3"/>
    <w:rsid w:val="008A0BE0"/>
    <w:rsid w:val="008A2C2E"/>
    <w:rsid w:val="008A30DB"/>
    <w:rsid w:val="008A3485"/>
    <w:rsid w:val="008A45C3"/>
    <w:rsid w:val="008A574C"/>
    <w:rsid w:val="008A5C54"/>
    <w:rsid w:val="008A5F1C"/>
    <w:rsid w:val="008A6D33"/>
    <w:rsid w:val="008B05FA"/>
    <w:rsid w:val="008B082C"/>
    <w:rsid w:val="008B0876"/>
    <w:rsid w:val="008B436B"/>
    <w:rsid w:val="008B4516"/>
    <w:rsid w:val="008B45E5"/>
    <w:rsid w:val="008B5619"/>
    <w:rsid w:val="008B666F"/>
    <w:rsid w:val="008B6FE4"/>
    <w:rsid w:val="008B72DB"/>
    <w:rsid w:val="008B773E"/>
    <w:rsid w:val="008C03FE"/>
    <w:rsid w:val="008C0479"/>
    <w:rsid w:val="008C094D"/>
    <w:rsid w:val="008C0A55"/>
    <w:rsid w:val="008C0D82"/>
    <w:rsid w:val="008C1647"/>
    <w:rsid w:val="008C16CE"/>
    <w:rsid w:val="008C2129"/>
    <w:rsid w:val="008C42D1"/>
    <w:rsid w:val="008C483F"/>
    <w:rsid w:val="008C4926"/>
    <w:rsid w:val="008C4D37"/>
    <w:rsid w:val="008C63EE"/>
    <w:rsid w:val="008D2CF0"/>
    <w:rsid w:val="008D3489"/>
    <w:rsid w:val="008D3D9E"/>
    <w:rsid w:val="008D454D"/>
    <w:rsid w:val="008D5469"/>
    <w:rsid w:val="008D58E2"/>
    <w:rsid w:val="008D7E04"/>
    <w:rsid w:val="008E011B"/>
    <w:rsid w:val="008E0715"/>
    <w:rsid w:val="008E2DD4"/>
    <w:rsid w:val="008E3FFE"/>
    <w:rsid w:val="008E4361"/>
    <w:rsid w:val="008E5AEE"/>
    <w:rsid w:val="008E656A"/>
    <w:rsid w:val="008E6E21"/>
    <w:rsid w:val="008E71A0"/>
    <w:rsid w:val="008E7408"/>
    <w:rsid w:val="008F0AB8"/>
    <w:rsid w:val="008F20F2"/>
    <w:rsid w:val="008F3591"/>
    <w:rsid w:val="008F4B5B"/>
    <w:rsid w:val="008F6A53"/>
    <w:rsid w:val="008F6AFC"/>
    <w:rsid w:val="008F6CE3"/>
    <w:rsid w:val="008F6EC8"/>
    <w:rsid w:val="008F743B"/>
    <w:rsid w:val="0090020D"/>
    <w:rsid w:val="009006F9"/>
    <w:rsid w:val="00901869"/>
    <w:rsid w:val="009027AD"/>
    <w:rsid w:val="00902C2C"/>
    <w:rsid w:val="00904673"/>
    <w:rsid w:val="0090624D"/>
    <w:rsid w:val="00906B2D"/>
    <w:rsid w:val="00906CA7"/>
    <w:rsid w:val="00907C6C"/>
    <w:rsid w:val="00914106"/>
    <w:rsid w:val="00914758"/>
    <w:rsid w:val="009158AB"/>
    <w:rsid w:val="00915CBC"/>
    <w:rsid w:val="00917746"/>
    <w:rsid w:val="0092047E"/>
    <w:rsid w:val="00920BB7"/>
    <w:rsid w:val="00923D67"/>
    <w:rsid w:val="009249B6"/>
    <w:rsid w:val="009249CA"/>
    <w:rsid w:val="00924DBC"/>
    <w:rsid w:val="00926763"/>
    <w:rsid w:val="009267DD"/>
    <w:rsid w:val="009302AF"/>
    <w:rsid w:val="00930B7A"/>
    <w:rsid w:val="00933560"/>
    <w:rsid w:val="00936F60"/>
    <w:rsid w:val="009404B0"/>
    <w:rsid w:val="0094116D"/>
    <w:rsid w:val="0094398A"/>
    <w:rsid w:val="00944F68"/>
    <w:rsid w:val="009513D3"/>
    <w:rsid w:val="00953F6F"/>
    <w:rsid w:val="00955243"/>
    <w:rsid w:val="009578FB"/>
    <w:rsid w:val="00957A35"/>
    <w:rsid w:val="00960E02"/>
    <w:rsid w:val="00963586"/>
    <w:rsid w:val="00967347"/>
    <w:rsid w:val="00967F23"/>
    <w:rsid w:val="00970D15"/>
    <w:rsid w:val="0097136A"/>
    <w:rsid w:val="00971D41"/>
    <w:rsid w:val="00972C8F"/>
    <w:rsid w:val="00974739"/>
    <w:rsid w:val="009843A3"/>
    <w:rsid w:val="009908CC"/>
    <w:rsid w:val="009908DA"/>
    <w:rsid w:val="00991489"/>
    <w:rsid w:val="00992219"/>
    <w:rsid w:val="009948A8"/>
    <w:rsid w:val="00994CE6"/>
    <w:rsid w:val="009A63FC"/>
    <w:rsid w:val="009B26D6"/>
    <w:rsid w:val="009B2B14"/>
    <w:rsid w:val="009B332A"/>
    <w:rsid w:val="009B36C8"/>
    <w:rsid w:val="009B422E"/>
    <w:rsid w:val="009B5F6D"/>
    <w:rsid w:val="009B76BA"/>
    <w:rsid w:val="009C0106"/>
    <w:rsid w:val="009C1060"/>
    <w:rsid w:val="009C238A"/>
    <w:rsid w:val="009C276C"/>
    <w:rsid w:val="009C38F9"/>
    <w:rsid w:val="009D08CE"/>
    <w:rsid w:val="009D0FC6"/>
    <w:rsid w:val="009D1AFC"/>
    <w:rsid w:val="009D3E62"/>
    <w:rsid w:val="009D405A"/>
    <w:rsid w:val="009D4A48"/>
    <w:rsid w:val="009D5849"/>
    <w:rsid w:val="009D657B"/>
    <w:rsid w:val="009D6E68"/>
    <w:rsid w:val="009E2207"/>
    <w:rsid w:val="009E5893"/>
    <w:rsid w:val="009E58F4"/>
    <w:rsid w:val="009E6D18"/>
    <w:rsid w:val="009E6FE2"/>
    <w:rsid w:val="009F1E2A"/>
    <w:rsid w:val="009F2A83"/>
    <w:rsid w:val="009F2E90"/>
    <w:rsid w:val="009F40D3"/>
    <w:rsid w:val="009F4875"/>
    <w:rsid w:val="00A108F0"/>
    <w:rsid w:val="00A12E6E"/>
    <w:rsid w:val="00A12F7D"/>
    <w:rsid w:val="00A14CD6"/>
    <w:rsid w:val="00A15A55"/>
    <w:rsid w:val="00A17636"/>
    <w:rsid w:val="00A21BB0"/>
    <w:rsid w:val="00A24596"/>
    <w:rsid w:val="00A246E8"/>
    <w:rsid w:val="00A305F6"/>
    <w:rsid w:val="00A309B0"/>
    <w:rsid w:val="00A30DFB"/>
    <w:rsid w:val="00A31A06"/>
    <w:rsid w:val="00A31A78"/>
    <w:rsid w:val="00A32934"/>
    <w:rsid w:val="00A32D89"/>
    <w:rsid w:val="00A32F36"/>
    <w:rsid w:val="00A336B6"/>
    <w:rsid w:val="00A34493"/>
    <w:rsid w:val="00A34884"/>
    <w:rsid w:val="00A3587D"/>
    <w:rsid w:val="00A3620F"/>
    <w:rsid w:val="00A412B1"/>
    <w:rsid w:val="00A41CD9"/>
    <w:rsid w:val="00A41CEA"/>
    <w:rsid w:val="00A4248F"/>
    <w:rsid w:val="00A4287C"/>
    <w:rsid w:val="00A43426"/>
    <w:rsid w:val="00A44621"/>
    <w:rsid w:val="00A45441"/>
    <w:rsid w:val="00A45519"/>
    <w:rsid w:val="00A468A6"/>
    <w:rsid w:val="00A46ACF"/>
    <w:rsid w:val="00A46EF7"/>
    <w:rsid w:val="00A51347"/>
    <w:rsid w:val="00A538DD"/>
    <w:rsid w:val="00A53A47"/>
    <w:rsid w:val="00A5426F"/>
    <w:rsid w:val="00A549BE"/>
    <w:rsid w:val="00A554B2"/>
    <w:rsid w:val="00A5772F"/>
    <w:rsid w:val="00A57A09"/>
    <w:rsid w:val="00A57B24"/>
    <w:rsid w:val="00A614D2"/>
    <w:rsid w:val="00A62999"/>
    <w:rsid w:val="00A62EE1"/>
    <w:rsid w:val="00A643AB"/>
    <w:rsid w:val="00A651A9"/>
    <w:rsid w:val="00A65F46"/>
    <w:rsid w:val="00A663DC"/>
    <w:rsid w:val="00A67596"/>
    <w:rsid w:val="00A71435"/>
    <w:rsid w:val="00A71761"/>
    <w:rsid w:val="00A71F14"/>
    <w:rsid w:val="00A72414"/>
    <w:rsid w:val="00A72E9B"/>
    <w:rsid w:val="00A738A6"/>
    <w:rsid w:val="00A73BA1"/>
    <w:rsid w:val="00A80214"/>
    <w:rsid w:val="00A807DD"/>
    <w:rsid w:val="00A81D3D"/>
    <w:rsid w:val="00A82709"/>
    <w:rsid w:val="00A84616"/>
    <w:rsid w:val="00A84691"/>
    <w:rsid w:val="00A8470D"/>
    <w:rsid w:val="00A85433"/>
    <w:rsid w:val="00A90B3D"/>
    <w:rsid w:val="00A93922"/>
    <w:rsid w:val="00A93E8B"/>
    <w:rsid w:val="00A943E6"/>
    <w:rsid w:val="00A94B7A"/>
    <w:rsid w:val="00A9563C"/>
    <w:rsid w:val="00A95749"/>
    <w:rsid w:val="00A964CA"/>
    <w:rsid w:val="00A96A46"/>
    <w:rsid w:val="00A96AEF"/>
    <w:rsid w:val="00A975F8"/>
    <w:rsid w:val="00AA1513"/>
    <w:rsid w:val="00AA195E"/>
    <w:rsid w:val="00AA2B4D"/>
    <w:rsid w:val="00AA330E"/>
    <w:rsid w:val="00AA4630"/>
    <w:rsid w:val="00AA60E4"/>
    <w:rsid w:val="00AB5723"/>
    <w:rsid w:val="00AB683D"/>
    <w:rsid w:val="00AB7F0C"/>
    <w:rsid w:val="00AC2490"/>
    <w:rsid w:val="00AC321D"/>
    <w:rsid w:val="00AC3268"/>
    <w:rsid w:val="00AC70CE"/>
    <w:rsid w:val="00AD1384"/>
    <w:rsid w:val="00AD3009"/>
    <w:rsid w:val="00AD37AA"/>
    <w:rsid w:val="00AD3873"/>
    <w:rsid w:val="00AD7435"/>
    <w:rsid w:val="00AE0E28"/>
    <w:rsid w:val="00AE2D23"/>
    <w:rsid w:val="00AE39E2"/>
    <w:rsid w:val="00AE3CC9"/>
    <w:rsid w:val="00AE4879"/>
    <w:rsid w:val="00AE5A11"/>
    <w:rsid w:val="00AE649D"/>
    <w:rsid w:val="00AE69FD"/>
    <w:rsid w:val="00AE6F73"/>
    <w:rsid w:val="00AF054A"/>
    <w:rsid w:val="00AF5531"/>
    <w:rsid w:val="00AF5938"/>
    <w:rsid w:val="00AF6914"/>
    <w:rsid w:val="00AF7E34"/>
    <w:rsid w:val="00B00553"/>
    <w:rsid w:val="00B0072F"/>
    <w:rsid w:val="00B01BC5"/>
    <w:rsid w:val="00B02EB7"/>
    <w:rsid w:val="00B038DD"/>
    <w:rsid w:val="00B04A37"/>
    <w:rsid w:val="00B05B91"/>
    <w:rsid w:val="00B06E62"/>
    <w:rsid w:val="00B07F1F"/>
    <w:rsid w:val="00B11752"/>
    <w:rsid w:val="00B15389"/>
    <w:rsid w:val="00B15A73"/>
    <w:rsid w:val="00B16CCA"/>
    <w:rsid w:val="00B17B8D"/>
    <w:rsid w:val="00B17EA9"/>
    <w:rsid w:val="00B21D80"/>
    <w:rsid w:val="00B223CE"/>
    <w:rsid w:val="00B238E2"/>
    <w:rsid w:val="00B25765"/>
    <w:rsid w:val="00B26C88"/>
    <w:rsid w:val="00B27D72"/>
    <w:rsid w:val="00B30B93"/>
    <w:rsid w:val="00B336EE"/>
    <w:rsid w:val="00B33E1D"/>
    <w:rsid w:val="00B34579"/>
    <w:rsid w:val="00B36C70"/>
    <w:rsid w:val="00B37766"/>
    <w:rsid w:val="00B37EAE"/>
    <w:rsid w:val="00B40419"/>
    <w:rsid w:val="00B40B62"/>
    <w:rsid w:val="00B410D1"/>
    <w:rsid w:val="00B4226C"/>
    <w:rsid w:val="00B4275F"/>
    <w:rsid w:val="00B516A3"/>
    <w:rsid w:val="00B552F9"/>
    <w:rsid w:val="00B553C8"/>
    <w:rsid w:val="00B55B52"/>
    <w:rsid w:val="00B56476"/>
    <w:rsid w:val="00B57842"/>
    <w:rsid w:val="00B57C15"/>
    <w:rsid w:val="00B6038E"/>
    <w:rsid w:val="00B652D4"/>
    <w:rsid w:val="00B66DAB"/>
    <w:rsid w:val="00B700AA"/>
    <w:rsid w:val="00B74CE0"/>
    <w:rsid w:val="00B75205"/>
    <w:rsid w:val="00B758BD"/>
    <w:rsid w:val="00B8008B"/>
    <w:rsid w:val="00B80423"/>
    <w:rsid w:val="00B80711"/>
    <w:rsid w:val="00B80EA3"/>
    <w:rsid w:val="00B80EAA"/>
    <w:rsid w:val="00B8159D"/>
    <w:rsid w:val="00B81740"/>
    <w:rsid w:val="00B82B8E"/>
    <w:rsid w:val="00B846A8"/>
    <w:rsid w:val="00B86C3B"/>
    <w:rsid w:val="00B879D8"/>
    <w:rsid w:val="00B87BC9"/>
    <w:rsid w:val="00B90812"/>
    <w:rsid w:val="00B909FE"/>
    <w:rsid w:val="00B941A6"/>
    <w:rsid w:val="00B94879"/>
    <w:rsid w:val="00B95ECC"/>
    <w:rsid w:val="00BA0B32"/>
    <w:rsid w:val="00BA0CB5"/>
    <w:rsid w:val="00BA0E90"/>
    <w:rsid w:val="00BA1C82"/>
    <w:rsid w:val="00BA1CD9"/>
    <w:rsid w:val="00BA3D97"/>
    <w:rsid w:val="00BA4E5F"/>
    <w:rsid w:val="00BA5527"/>
    <w:rsid w:val="00BA674A"/>
    <w:rsid w:val="00BA6E2C"/>
    <w:rsid w:val="00BA74DB"/>
    <w:rsid w:val="00BA7DCC"/>
    <w:rsid w:val="00BB0133"/>
    <w:rsid w:val="00BB0AD0"/>
    <w:rsid w:val="00BB104A"/>
    <w:rsid w:val="00BB1574"/>
    <w:rsid w:val="00BB2C4F"/>
    <w:rsid w:val="00BB4CD2"/>
    <w:rsid w:val="00BB6BDF"/>
    <w:rsid w:val="00BC0B3A"/>
    <w:rsid w:val="00BC0F4E"/>
    <w:rsid w:val="00BC29A6"/>
    <w:rsid w:val="00BC33F7"/>
    <w:rsid w:val="00BC3C9A"/>
    <w:rsid w:val="00BC5F8A"/>
    <w:rsid w:val="00BC725F"/>
    <w:rsid w:val="00BC72D4"/>
    <w:rsid w:val="00BD0A9B"/>
    <w:rsid w:val="00BD1EE5"/>
    <w:rsid w:val="00BD21D3"/>
    <w:rsid w:val="00BD36FE"/>
    <w:rsid w:val="00BD411D"/>
    <w:rsid w:val="00BD489E"/>
    <w:rsid w:val="00BD4BCA"/>
    <w:rsid w:val="00BD52C2"/>
    <w:rsid w:val="00BD5332"/>
    <w:rsid w:val="00BD54BB"/>
    <w:rsid w:val="00BD628D"/>
    <w:rsid w:val="00BD6B5F"/>
    <w:rsid w:val="00BE0145"/>
    <w:rsid w:val="00BE29DD"/>
    <w:rsid w:val="00BE488B"/>
    <w:rsid w:val="00BE4F0A"/>
    <w:rsid w:val="00BE5A7B"/>
    <w:rsid w:val="00BE5C4F"/>
    <w:rsid w:val="00BF36E1"/>
    <w:rsid w:val="00BF3BBC"/>
    <w:rsid w:val="00BF3F72"/>
    <w:rsid w:val="00BF5AAB"/>
    <w:rsid w:val="00C01152"/>
    <w:rsid w:val="00C028BF"/>
    <w:rsid w:val="00C042D0"/>
    <w:rsid w:val="00C053EA"/>
    <w:rsid w:val="00C12339"/>
    <w:rsid w:val="00C1319F"/>
    <w:rsid w:val="00C13D93"/>
    <w:rsid w:val="00C140B9"/>
    <w:rsid w:val="00C145FC"/>
    <w:rsid w:val="00C1728E"/>
    <w:rsid w:val="00C21F37"/>
    <w:rsid w:val="00C23291"/>
    <w:rsid w:val="00C250A9"/>
    <w:rsid w:val="00C25F3F"/>
    <w:rsid w:val="00C25F66"/>
    <w:rsid w:val="00C269A6"/>
    <w:rsid w:val="00C2718A"/>
    <w:rsid w:val="00C27BE4"/>
    <w:rsid w:val="00C30099"/>
    <w:rsid w:val="00C3233A"/>
    <w:rsid w:val="00C32894"/>
    <w:rsid w:val="00C32A53"/>
    <w:rsid w:val="00C32CE5"/>
    <w:rsid w:val="00C3331C"/>
    <w:rsid w:val="00C35931"/>
    <w:rsid w:val="00C36505"/>
    <w:rsid w:val="00C410BC"/>
    <w:rsid w:val="00C43530"/>
    <w:rsid w:val="00C4453E"/>
    <w:rsid w:val="00C4465E"/>
    <w:rsid w:val="00C50757"/>
    <w:rsid w:val="00C51F59"/>
    <w:rsid w:val="00C5224D"/>
    <w:rsid w:val="00C53DC1"/>
    <w:rsid w:val="00C53E4A"/>
    <w:rsid w:val="00C559E2"/>
    <w:rsid w:val="00C55D6A"/>
    <w:rsid w:val="00C55DF7"/>
    <w:rsid w:val="00C56CD7"/>
    <w:rsid w:val="00C56D40"/>
    <w:rsid w:val="00C57ADF"/>
    <w:rsid w:val="00C57D91"/>
    <w:rsid w:val="00C57E0B"/>
    <w:rsid w:val="00C6108C"/>
    <w:rsid w:val="00C62EF0"/>
    <w:rsid w:val="00C63757"/>
    <w:rsid w:val="00C63D8B"/>
    <w:rsid w:val="00C64C18"/>
    <w:rsid w:val="00C66102"/>
    <w:rsid w:val="00C7068E"/>
    <w:rsid w:val="00C73862"/>
    <w:rsid w:val="00C745AE"/>
    <w:rsid w:val="00C74AAB"/>
    <w:rsid w:val="00C7605D"/>
    <w:rsid w:val="00C775FA"/>
    <w:rsid w:val="00C8097E"/>
    <w:rsid w:val="00C80A6C"/>
    <w:rsid w:val="00C80F07"/>
    <w:rsid w:val="00C812C3"/>
    <w:rsid w:val="00C827B2"/>
    <w:rsid w:val="00C84FE1"/>
    <w:rsid w:val="00C8613B"/>
    <w:rsid w:val="00C87118"/>
    <w:rsid w:val="00C9252C"/>
    <w:rsid w:val="00C97BC0"/>
    <w:rsid w:val="00CA1471"/>
    <w:rsid w:val="00CA4564"/>
    <w:rsid w:val="00CA5110"/>
    <w:rsid w:val="00CA60B2"/>
    <w:rsid w:val="00CA6171"/>
    <w:rsid w:val="00CA671D"/>
    <w:rsid w:val="00CA6FDC"/>
    <w:rsid w:val="00CB0089"/>
    <w:rsid w:val="00CB1871"/>
    <w:rsid w:val="00CB298A"/>
    <w:rsid w:val="00CB2C7C"/>
    <w:rsid w:val="00CB4EFB"/>
    <w:rsid w:val="00CB5A33"/>
    <w:rsid w:val="00CC1707"/>
    <w:rsid w:val="00CC2E7F"/>
    <w:rsid w:val="00CC2FC8"/>
    <w:rsid w:val="00CC3481"/>
    <w:rsid w:val="00CC3F3F"/>
    <w:rsid w:val="00CC43D4"/>
    <w:rsid w:val="00CC5210"/>
    <w:rsid w:val="00CC5FA2"/>
    <w:rsid w:val="00CC7EEC"/>
    <w:rsid w:val="00CD00EF"/>
    <w:rsid w:val="00CD06F7"/>
    <w:rsid w:val="00CD2515"/>
    <w:rsid w:val="00CD553C"/>
    <w:rsid w:val="00CD79F1"/>
    <w:rsid w:val="00CD7FB6"/>
    <w:rsid w:val="00CE11DA"/>
    <w:rsid w:val="00CE411F"/>
    <w:rsid w:val="00CE4887"/>
    <w:rsid w:val="00CE576C"/>
    <w:rsid w:val="00CE6E9A"/>
    <w:rsid w:val="00CF34F4"/>
    <w:rsid w:val="00CF378C"/>
    <w:rsid w:val="00CF41AE"/>
    <w:rsid w:val="00CF5611"/>
    <w:rsid w:val="00CF6C8C"/>
    <w:rsid w:val="00CF7099"/>
    <w:rsid w:val="00D00D13"/>
    <w:rsid w:val="00D01055"/>
    <w:rsid w:val="00D01442"/>
    <w:rsid w:val="00D0217A"/>
    <w:rsid w:val="00D0287B"/>
    <w:rsid w:val="00D029D9"/>
    <w:rsid w:val="00D0316C"/>
    <w:rsid w:val="00D07AB0"/>
    <w:rsid w:val="00D14525"/>
    <w:rsid w:val="00D157CA"/>
    <w:rsid w:val="00D16376"/>
    <w:rsid w:val="00D17C90"/>
    <w:rsid w:val="00D216A8"/>
    <w:rsid w:val="00D22F73"/>
    <w:rsid w:val="00D26D9A"/>
    <w:rsid w:val="00D31249"/>
    <w:rsid w:val="00D31293"/>
    <w:rsid w:val="00D31BCA"/>
    <w:rsid w:val="00D34BBE"/>
    <w:rsid w:val="00D34EC9"/>
    <w:rsid w:val="00D34FD4"/>
    <w:rsid w:val="00D351EB"/>
    <w:rsid w:val="00D3624A"/>
    <w:rsid w:val="00D368DC"/>
    <w:rsid w:val="00D377A7"/>
    <w:rsid w:val="00D4206E"/>
    <w:rsid w:val="00D42A35"/>
    <w:rsid w:val="00D45767"/>
    <w:rsid w:val="00D46A3C"/>
    <w:rsid w:val="00D5185F"/>
    <w:rsid w:val="00D54F89"/>
    <w:rsid w:val="00D55C60"/>
    <w:rsid w:val="00D578F9"/>
    <w:rsid w:val="00D606A2"/>
    <w:rsid w:val="00D62139"/>
    <w:rsid w:val="00D6517A"/>
    <w:rsid w:val="00D6753B"/>
    <w:rsid w:val="00D67BC6"/>
    <w:rsid w:val="00D715D4"/>
    <w:rsid w:val="00D71B7B"/>
    <w:rsid w:val="00D73A17"/>
    <w:rsid w:val="00D779E8"/>
    <w:rsid w:val="00D801BB"/>
    <w:rsid w:val="00D81867"/>
    <w:rsid w:val="00D83EC5"/>
    <w:rsid w:val="00D840E5"/>
    <w:rsid w:val="00D85379"/>
    <w:rsid w:val="00D8641B"/>
    <w:rsid w:val="00D8766B"/>
    <w:rsid w:val="00D9049A"/>
    <w:rsid w:val="00D90A16"/>
    <w:rsid w:val="00D91470"/>
    <w:rsid w:val="00D9319D"/>
    <w:rsid w:val="00D961DE"/>
    <w:rsid w:val="00DA013B"/>
    <w:rsid w:val="00DA0760"/>
    <w:rsid w:val="00DA263A"/>
    <w:rsid w:val="00DA296C"/>
    <w:rsid w:val="00DA37C5"/>
    <w:rsid w:val="00DB0490"/>
    <w:rsid w:val="00DB17E2"/>
    <w:rsid w:val="00DB3B93"/>
    <w:rsid w:val="00DB6BF8"/>
    <w:rsid w:val="00DB6C04"/>
    <w:rsid w:val="00DC0F1B"/>
    <w:rsid w:val="00DC28B3"/>
    <w:rsid w:val="00DC2B11"/>
    <w:rsid w:val="00DC3AC1"/>
    <w:rsid w:val="00DC6EBF"/>
    <w:rsid w:val="00DD32BF"/>
    <w:rsid w:val="00DD427E"/>
    <w:rsid w:val="00DD6E21"/>
    <w:rsid w:val="00DD71C7"/>
    <w:rsid w:val="00DE014F"/>
    <w:rsid w:val="00DE08CE"/>
    <w:rsid w:val="00DE241C"/>
    <w:rsid w:val="00DE26D0"/>
    <w:rsid w:val="00DE2A39"/>
    <w:rsid w:val="00DE3DF4"/>
    <w:rsid w:val="00DE43D9"/>
    <w:rsid w:val="00DE4894"/>
    <w:rsid w:val="00DE4926"/>
    <w:rsid w:val="00DE73D2"/>
    <w:rsid w:val="00DF16D5"/>
    <w:rsid w:val="00DF5591"/>
    <w:rsid w:val="00DF5710"/>
    <w:rsid w:val="00DF57FB"/>
    <w:rsid w:val="00DF7EA7"/>
    <w:rsid w:val="00E003AA"/>
    <w:rsid w:val="00E0340E"/>
    <w:rsid w:val="00E039C8"/>
    <w:rsid w:val="00E03A6E"/>
    <w:rsid w:val="00E04AA4"/>
    <w:rsid w:val="00E04BDD"/>
    <w:rsid w:val="00E05DB9"/>
    <w:rsid w:val="00E0681B"/>
    <w:rsid w:val="00E0711D"/>
    <w:rsid w:val="00E1193C"/>
    <w:rsid w:val="00E14F78"/>
    <w:rsid w:val="00E1504C"/>
    <w:rsid w:val="00E17838"/>
    <w:rsid w:val="00E17911"/>
    <w:rsid w:val="00E20143"/>
    <w:rsid w:val="00E21FC0"/>
    <w:rsid w:val="00E227E9"/>
    <w:rsid w:val="00E2401D"/>
    <w:rsid w:val="00E2516C"/>
    <w:rsid w:val="00E25FA7"/>
    <w:rsid w:val="00E30631"/>
    <w:rsid w:val="00E3215A"/>
    <w:rsid w:val="00E3269A"/>
    <w:rsid w:val="00E32BF9"/>
    <w:rsid w:val="00E32C1A"/>
    <w:rsid w:val="00E3332E"/>
    <w:rsid w:val="00E3409E"/>
    <w:rsid w:val="00E346B2"/>
    <w:rsid w:val="00E36D7D"/>
    <w:rsid w:val="00E40188"/>
    <w:rsid w:val="00E40D0C"/>
    <w:rsid w:val="00E41804"/>
    <w:rsid w:val="00E4333E"/>
    <w:rsid w:val="00E522B0"/>
    <w:rsid w:val="00E560BA"/>
    <w:rsid w:val="00E5613E"/>
    <w:rsid w:val="00E562F1"/>
    <w:rsid w:val="00E60575"/>
    <w:rsid w:val="00E60E9B"/>
    <w:rsid w:val="00E6234E"/>
    <w:rsid w:val="00E64B7C"/>
    <w:rsid w:val="00E652CF"/>
    <w:rsid w:val="00E67574"/>
    <w:rsid w:val="00E67845"/>
    <w:rsid w:val="00E71B99"/>
    <w:rsid w:val="00E71F9D"/>
    <w:rsid w:val="00E74D58"/>
    <w:rsid w:val="00E75A34"/>
    <w:rsid w:val="00E766FC"/>
    <w:rsid w:val="00E77409"/>
    <w:rsid w:val="00E83ADF"/>
    <w:rsid w:val="00E84D2E"/>
    <w:rsid w:val="00E86402"/>
    <w:rsid w:val="00E87685"/>
    <w:rsid w:val="00E90E4E"/>
    <w:rsid w:val="00E91C70"/>
    <w:rsid w:val="00EA00A4"/>
    <w:rsid w:val="00EA0C29"/>
    <w:rsid w:val="00EA137B"/>
    <w:rsid w:val="00EA1EAB"/>
    <w:rsid w:val="00EA236A"/>
    <w:rsid w:val="00EA3D6E"/>
    <w:rsid w:val="00EA3FEF"/>
    <w:rsid w:val="00EB08A2"/>
    <w:rsid w:val="00EB0F53"/>
    <w:rsid w:val="00EC041A"/>
    <w:rsid w:val="00EC0EE5"/>
    <w:rsid w:val="00EC1617"/>
    <w:rsid w:val="00EC2AC1"/>
    <w:rsid w:val="00EC6EB2"/>
    <w:rsid w:val="00EC780F"/>
    <w:rsid w:val="00ED1B9E"/>
    <w:rsid w:val="00ED42A6"/>
    <w:rsid w:val="00ED4FC1"/>
    <w:rsid w:val="00ED53AE"/>
    <w:rsid w:val="00ED61A1"/>
    <w:rsid w:val="00EE22F0"/>
    <w:rsid w:val="00EE2A2B"/>
    <w:rsid w:val="00EE3FB2"/>
    <w:rsid w:val="00EE5D7A"/>
    <w:rsid w:val="00EF2034"/>
    <w:rsid w:val="00EF45CC"/>
    <w:rsid w:val="00EF5212"/>
    <w:rsid w:val="00F008D0"/>
    <w:rsid w:val="00F020C1"/>
    <w:rsid w:val="00F035FF"/>
    <w:rsid w:val="00F0445D"/>
    <w:rsid w:val="00F049E8"/>
    <w:rsid w:val="00F06331"/>
    <w:rsid w:val="00F065EA"/>
    <w:rsid w:val="00F0798A"/>
    <w:rsid w:val="00F106E1"/>
    <w:rsid w:val="00F11F30"/>
    <w:rsid w:val="00F1222E"/>
    <w:rsid w:val="00F13255"/>
    <w:rsid w:val="00F140D5"/>
    <w:rsid w:val="00F17C98"/>
    <w:rsid w:val="00F17D97"/>
    <w:rsid w:val="00F17FC6"/>
    <w:rsid w:val="00F20014"/>
    <w:rsid w:val="00F22787"/>
    <w:rsid w:val="00F25BF3"/>
    <w:rsid w:val="00F25E4C"/>
    <w:rsid w:val="00F268E3"/>
    <w:rsid w:val="00F26D2C"/>
    <w:rsid w:val="00F30464"/>
    <w:rsid w:val="00F32461"/>
    <w:rsid w:val="00F34FCA"/>
    <w:rsid w:val="00F36B0E"/>
    <w:rsid w:val="00F415DF"/>
    <w:rsid w:val="00F46D79"/>
    <w:rsid w:val="00F477EC"/>
    <w:rsid w:val="00F51206"/>
    <w:rsid w:val="00F5169D"/>
    <w:rsid w:val="00F5345A"/>
    <w:rsid w:val="00F555AA"/>
    <w:rsid w:val="00F57273"/>
    <w:rsid w:val="00F57B23"/>
    <w:rsid w:val="00F57FE9"/>
    <w:rsid w:val="00F61845"/>
    <w:rsid w:val="00F625D1"/>
    <w:rsid w:val="00F62680"/>
    <w:rsid w:val="00F63E87"/>
    <w:rsid w:val="00F64835"/>
    <w:rsid w:val="00F64D6E"/>
    <w:rsid w:val="00F6655E"/>
    <w:rsid w:val="00F714C9"/>
    <w:rsid w:val="00F72958"/>
    <w:rsid w:val="00F73DBD"/>
    <w:rsid w:val="00F7510E"/>
    <w:rsid w:val="00F762F2"/>
    <w:rsid w:val="00F77A34"/>
    <w:rsid w:val="00F80075"/>
    <w:rsid w:val="00F80273"/>
    <w:rsid w:val="00F80341"/>
    <w:rsid w:val="00F844AE"/>
    <w:rsid w:val="00F865AC"/>
    <w:rsid w:val="00F87CC1"/>
    <w:rsid w:val="00F904E5"/>
    <w:rsid w:val="00F91400"/>
    <w:rsid w:val="00F91DD2"/>
    <w:rsid w:val="00F92A39"/>
    <w:rsid w:val="00F92B4D"/>
    <w:rsid w:val="00F947CD"/>
    <w:rsid w:val="00F95A9D"/>
    <w:rsid w:val="00F95B09"/>
    <w:rsid w:val="00F9604A"/>
    <w:rsid w:val="00F97EE3"/>
    <w:rsid w:val="00F97FAE"/>
    <w:rsid w:val="00FA23C8"/>
    <w:rsid w:val="00FA59B7"/>
    <w:rsid w:val="00FA67FF"/>
    <w:rsid w:val="00FB124A"/>
    <w:rsid w:val="00FB1378"/>
    <w:rsid w:val="00FB2F69"/>
    <w:rsid w:val="00FC0037"/>
    <w:rsid w:val="00FC4A3D"/>
    <w:rsid w:val="00FC4D94"/>
    <w:rsid w:val="00FC5D95"/>
    <w:rsid w:val="00FC67A8"/>
    <w:rsid w:val="00FC69F0"/>
    <w:rsid w:val="00FC7D41"/>
    <w:rsid w:val="00FD0559"/>
    <w:rsid w:val="00FD061F"/>
    <w:rsid w:val="00FD2E17"/>
    <w:rsid w:val="00FD2F17"/>
    <w:rsid w:val="00FD3343"/>
    <w:rsid w:val="00FD336F"/>
    <w:rsid w:val="00FD3AC6"/>
    <w:rsid w:val="00FD4A24"/>
    <w:rsid w:val="00FD4C9A"/>
    <w:rsid w:val="00FD53F9"/>
    <w:rsid w:val="00FD7235"/>
    <w:rsid w:val="00FE0DC0"/>
    <w:rsid w:val="00FE2FD9"/>
    <w:rsid w:val="00FE308D"/>
    <w:rsid w:val="00FE3788"/>
    <w:rsid w:val="00FE5443"/>
    <w:rsid w:val="00FE6444"/>
    <w:rsid w:val="00FE7C86"/>
    <w:rsid w:val="00FF0339"/>
    <w:rsid w:val="00FF0B1D"/>
    <w:rsid w:val="00FF20E5"/>
    <w:rsid w:val="00FF41DF"/>
    <w:rsid w:val="00FF4B7C"/>
    <w:rsid w:val="00FF5886"/>
    <w:rsid w:val="00FF5D70"/>
    <w:rsid w:val="00FF647B"/>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4AA3F"/>
  <w15:chartTrackingRefBased/>
  <w15:docId w15:val="{F4CD8FB5-0DD4-4A0D-A64A-D854E26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2F"/>
    <w:pPr>
      <w:tabs>
        <w:tab w:val="center" w:pos="4680"/>
        <w:tab w:val="right" w:pos="9360"/>
      </w:tabs>
    </w:pPr>
  </w:style>
  <w:style w:type="character" w:customStyle="1" w:styleId="HeaderChar">
    <w:name w:val="Header Char"/>
    <w:basedOn w:val="DefaultParagraphFont"/>
    <w:link w:val="Header"/>
    <w:uiPriority w:val="99"/>
    <w:rsid w:val="0054172F"/>
  </w:style>
  <w:style w:type="paragraph" w:styleId="Footer">
    <w:name w:val="footer"/>
    <w:basedOn w:val="Normal"/>
    <w:link w:val="FooterChar"/>
    <w:uiPriority w:val="99"/>
    <w:unhideWhenUsed/>
    <w:rsid w:val="0054172F"/>
    <w:pPr>
      <w:tabs>
        <w:tab w:val="center" w:pos="4680"/>
        <w:tab w:val="right" w:pos="9360"/>
      </w:tabs>
    </w:pPr>
  </w:style>
  <w:style w:type="character" w:customStyle="1" w:styleId="FooterChar">
    <w:name w:val="Footer Char"/>
    <w:basedOn w:val="DefaultParagraphFont"/>
    <w:link w:val="Footer"/>
    <w:uiPriority w:val="99"/>
    <w:rsid w:val="0054172F"/>
  </w:style>
  <w:style w:type="paragraph" w:styleId="BalloonText">
    <w:name w:val="Balloon Text"/>
    <w:basedOn w:val="Normal"/>
    <w:link w:val="BalloonTextChar"/>
    <w:uiPriority w:val="99"/>
    <w:semiHidden/>
    <w:unhideWhenUsed/>
    <w:rsid w:val="005417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172F"/>
    <w:rPr>
      <w:rFonts w:ascii="Times New Roman" w:hAnsi="Times New Roman" w:cs="Times New Roman"/>
      <w:sz w:val="18"/>
      <w:szCs w:val="18"/>
    </w:rPr>
  </w:style>
  <w:style w:type="table" w:styleId="TableGrid">
    <w:name w:val="Table Grid"/>
    <w:basedOn w:val="TableNormal"/>
    <w:uiPriority w:val="39"/>
    <w:rsid w:val="0035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77187"/>
  </w:style>
  <w:style w:type="paragraph" w:styleId="ListParagraph">
    <w:name w:val="List Paragraph"/>
    <w:aliases w:val="EX Bullet"/>
    <w:basedOn w:val="Normal"/>
    <w:link w:val="ListParagraphChar"/>
    <w:uiPriority w:val="34"/>
    <w:qFormat/>
    <w:rsid w:val="00A45441"/>
    <w:pPr>
      <w:ind w:left="720"/>
      <w:contextualSpacing/>
    </w:pPr>
  </w:style>
  <w:style w:type="character" w:styleId="Hyperlink">
    <w:name w:val="Hyperlink"/>
    <w:basedOn w:val="DefaultParagraphFont"/>
    <w:uiPriority w:val="99"/>
    <w:unhideWhenUsed/>
    <w:rsid w:val="004B12ED"/>
    <w:rPr>
      <w:color w:val="0563C1" w:themeColor="hyperlink"/>
      <w:u w:val="single"/>
    </w:rPr>
  </w:style>
  <w:style w:type="character" w:styleId="UnresolvedMention">
    <w:name w:val="Unresolved Mention"/>
    <w:basedOn w:val="DefaultParagraphFont"/>
    <w:uiPriority w:val="99"/>
    <w:semiHidden/>
    <w:unhideWhenUsed/>
    <w:rsid w:val="004B12ED"/>
    <w:rPr>
      <w:color w:val="605E5C"/>
      <w:shd w:val="clear" w:color="auto" w:fill="E1DFDD"/>
    </w:rPr>
  </w:style>
  <w:style w:type="character" w:customStyle="1" w:styleId="ListParagraphChar">
    <w:name w:val="List Paragraph Char"/>
    <w:aliases w:val="EX Bullet Char"/>
    <w:link w:val="ListParagraph"/>
    <w:uiPriority w:val="34"/>
    <w:locked/>
    <w:rsid w:val="002931ED"/>
  </w:style>
  <w:style w:type="paragraph" w:customStyle="1" w:styleId="DehPressRelease">
    <w:name w:val="Deh_Press_Release"/>
    <w:basedOn w:val="Normal"/>
    <w:link w:val="DehPressReleaseChar"/>
    <w:qFormat/>
    <w:rsid w:val="004E7CE8"/>
    <w:pPr>
      <w:spacing w:after="160" w:line="259" w:lineRule="auto"/>
    </w:pPr>
    <w:rPr>
      <w:rFonts w:ascii="Ping LCG Regular" w:hAnsi="Ping LCG Regular"/>
      <w:sz w:val="22"/>
      <w:szCs w:val="28"/>
      <w:lang w:val="el-GR"/>
    </w:rPr>
  </w:style>
  <w:style w:type="character" w:customStyle="1" w:styleId="DehPressReleaseChar">
    <w:name w:val="Deh_Press_Release Char"/>
    <w:basedOn w:val="DefaultParagraphFont"/>
    <w:link w:val="DehPressRelease"/>
    <w:rsid w:val="004E7CE8"/>
    <w:rPr>
      <w:rFonts w:ascii="Ping LCG Regular" w:hAnsi="Ping LCG Regular"/>
      <w:sz w:val="22"/>
      <w:szCs w:val="28"/>
      <w:lang w:val="el-GR"/>
    </w:rPr>
  </w:style>
  <w:style w:type="character" w:styleId="CommentReference">
    <w:name w:val="annotation reference"/>
    <w:basedOn w:val="DefaultParagraphFont"/>
    <w:uiPriority w:val="99"/>
    <w:semiHidden/>
    <w:unhideWhenUsed/>
    <w:rsid w:val="004E7CE8"/>
    <w:rPr>
      <w:sz w:val="16"/>
      <w:szCs w:val="16"/>
    </w:rPr>
  </w:style>
  <w:style w:type="paragraph" w:styleId="CommentText">
    <w:name w:val="annotation text"/>
    <w:basedOn w:val="Normal"/>
    <w:link w:val="CommentTextChar"/>
    <w:uiPriority w:val="99"/>
    <w:unhideWhenUsed/>
    <w:rsid w:val="004E7CE8"/>
    <w:rPr>
      <w:sz w:val="20"/>
      <w:szCs w:val="20"/>
    </w:rPr>
  </w:style>
  <w:style w:type="character" w:customStyle="1" w:styleId="CommentTextChar">
    <w:name w:val="Comment Text Char"/>
    <w:basedOn w:val="DefaultParagraphFont"/>
    <w:link w:val="CommentText"/>
    <w:uiPriority w:val="99"/>
    <w:rsid w:val="004E7CE8"/>
    <w:rPr>
      <w:sz w:val="20"/>
      <w:szCs w:val="20"/>
    </w:rPr>
  </w:style>
  <w:style w:type="paragraph" w:styleId="Revision">
    <w:name w:val="Revision"/>
    <w:hidden/>
    <w:uiPriority w:val="99"/>
    <w:semiHidden/>
    <w:rsid w:val="00333A95"/>
  </w:style>
  <w:style w:type="paragraph" w:styleId="FootnoteText">
    <w:name w:val="footnote text"/>
    <w:basedOn w:val="Normal"/>
    <w:link w:val="FootnoteTextChar"/>
    <w:uiPriority w:val="99"/>
    <w:unhideWhenUsed/>
    <w:rsid w:val="00B038DD"/>
    <w:rPr>
      <w:rFonts w:ascii="Ping LCG" w:hAnsi="Ping LCG" w:cs="Times New Roman (Body CS)"/>
      <w:sz w:val="20"/>
      <w:szCs w:val="20"/>
    </w:rPr>
  </w:style>
  <w:style w:type="character" w:customStyle="1" w:styleId="FootnoteTextChar">
    <w:name w:val="Footnote Text Char"/>
    <w:basedOn w:val="DefaultParagraphFont"/>
    <w:link w:val="FootnoteText"/>
    <w:uiPriority w:val="99"/>
    <w:rsid w:val="00B038DD"/>
    <w:rPr>
      <w:rFonts w:ascii="Ping LCG" w:hAnsi="Ping LCG" w:cs="Times New Roman (Body CS)"/>
      <w:sz w:val="20"/>
      <w:szCs w:val="20"/>
    </w:rPr>
  </w:style>
  <w:style w:type="character" w:styleId="FootnoteReference">
    <w:name w:val="footnote reference"/>
    <w:basedOn w:val="DefaultParagraphFont"/>
    <w:uiPriority w:val="99"/>
    <w:unhideWhenUsed/>
    <w:rsid w:val="00B038DD"/>
    <w:rPr>
      <w:vertAlign w:val="superscript"/>
    </w:rPr>
  </w:style>
  <w:style w:type="paragraph" w:styleId="NormalWeb">
    <w:name w:val="Normal (Web)"/>
    <w:basedOn w:val="Normal"/>
    <w:uiPriority w:val="99"/>
    <w:unhideWhenUsed/>
    <w:rsid w:val="0052195E"/>
    <w:pPr>
      <w:spacing w:before="100" w:beforeAutospacing="1" w:after="100" w:afterAutospacing="1"/>
    </w:pPr>
    <w:rPr>
      <w:rFonts w:ascii="Times New Roman" w:eastAsia="Times New Roman" w:hAnsi="Times New Roman" w:cs="Times New Roman"/>
    </w:rPr>
  </w:style>
  <w:style w:type="character" w:customStyle="1" w:styleId="fui-primitive">
    <w:name w:val="fui-primitive"/>
    <w:basedOn w:val="DefaultParagraphFont"/>
    <w:rsid w:val="00BF36E1"/>
  </w:style>
  <w:style w:type="character" w:customStyle="1" w:styleId="ui-provider">
    <w:name w:val="ui-provider"/>
    <w:basedOn w:val="DefaultParagraphFont"/>
    <w:rsid w:val="0064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4757">
      <w:bodyDiv w:val="1"/>
      <w:marLeft w:val="0"/>
      <w:marRight w:val="0"/>
      <w:marTop w:val="0"/>
      <w:marBottom w:val="0"/>
      <w:divBdr>
        <w:top w:val="none" w:sz="0" w:space="0" w:color="auto"/>
        <w:left w:val="none" w:sz="0" w:space="0" w:color="auto"/>
        <w:bottom w:val="none" w:sz="0" w:space="0" w:color="auto"/>
        <w:right w:val="none" w:sz="0" w:space="0" w:color="auto"/>
      </w:divBdr>
    </w:div>
    <w:div w:id="292055409">
      <w:bodyDiv w:val="1"/>
      <w:marLeft w:val="0"/>
      <w:marRight w:val="0"/>
      <w:marTop w:val="0"/>
      <w:marBottom w:val="0"/>
      <w:divBdr>
        <w:top w:val="none" w:sz="0" w:space="0" w:color="auto"/>
        <w:left w:val="none" w:sz="0" w:space="0" w:color="auto"/>
        <w:bottom w:val="none" w:sz="0" w:space="0" w:color="auto"/>
        <w:right w:val="none" w:sz="0" w:space="0" w:color="auto"/>
      </w:divBdr>
    </w:div>
    <w:div w:id="354501828">
      <w:bodyDiv w:val="1"/>
      <w:marLeft w:val="0"/>
      <w:marRight w:val="0"/>
      <w:marTop w:val="0"/>
      <w:marBottom w:val="0"/>
      <w:divBdr>
        <w:top w:val="none" w:sz="0" w:space="0" w:color="auto"/>
        <w:left w:val="none" w:sz="0" w:space="0" w:color="auto"/>
        <w:bottom w:val="none" w:sz="0" w:space="0" w:color="auto"/>
        <w:right w:val="none" w:sz="0" w:space="0" w:color="auto"/>
      </w:divBdr>
    </w:div>
    <w:div w:id="420415496">
      <w:bodyDiv w:val="1"/>
      <w:marLeft w:val="0"/>
      <w:marRight w:val="0"/>
      <w:marTop w:val="0"/>
      <w:marBottom w:val="0"/>
      <w:divBdr>
        <w:top w:val="none" w:sz="0" w:space="0" w:color="auto"/>
        <w:left w:val="none" w:sz="0" w:space="0" w:color="auto"/>
        <w:bottom w:val="none" w:sz="0" w:space="0" w:color="auto"/>
        <w:right w:val="none" w:sz="0" w:space="0" w:color="auto"/>
      </w:divBdr>
      <w:divsChild>
        <w:div w:id="1812558596">
          <w:marLeft w:val="0"/>
          <w:marRight w:val="0"/>
          <w:marTop w:val="0"/>
          <w:marBottom w:val="0"/>
          <w:divBdr>
            <w:top w:val="none" w:sz="0" w:space="0" w:color="auto"/>
            <w:left w:val="none" w:sz="0" w:space="0" w:color="auto"/>
            <w:bottom w:val="none" w:sz="0" w:space="0" w:color="auto"/>
            <w:right w:val="none" w:sz="0" w:space="0" w:color="auto"/>
          </w:divBdr>
        </w:div>
      </w:divsChild>
    </w:div>
    <w:div w:id="568806389">
      <w:bodyDiv w:val="1"/>
      <w:marLeft w:val="0"/>
      <w:marRight w:val="0"/>
      <w:marTop w:val="0"/>
      <w:marBottom w:val="0"/>
      <w:divBdr>
        <w:top w:val="none" w:sz="0" w:space="0" w:color="auto"/>
        <w:left w:val="none" w:sz="0" w:space="0" w:color="auto"/>
        <w:bottom w:val="none" w:sz="0" w:space="0" w:color="auto"/>
        <w:right w:val="none" w:sz="0" w:space="0" w:color="auto"/>
      </w:divBdr>
    </w:div>
    <w:div w:id="699743875">
      <w:bodyDiv w:val="1"/>
      <w:marLeft w:val="0"/>
      <w:marRight w:val="0"/>
      <w:marTop w:val="0"/>
      <w:marBottom w:val="0"/>
      <w:divBdr>
        <w:top w:val="none" w:sz="0" w:space="0" w:color="auto"/>
        <w:left w:val="none" w:sz="0" w:space="0" w:color="auto"/>
        <w:bottom w:val="none" w:sz="0" w:space="0" w:color="auto"/>
        <w:right w:val="none" w:sz="0" w:space="0" w:color="auto"/>
      </w:divBdr>
    </w:div>
    <w:div w:id="885221275">
      <w:bodyDiv w:val="1"/>
      <w:marLeft w:val="0"/>
      <w:marRight w:val="0"/>
      <w:marTop w:val="0"/>
      <w:marBottom w:val="0"/>
      <w:divBdr>
        <w:top w:val="none" w:sz="0" w:space="0" w:color="auto"/>
        <w:left w:val="none" w:sz="0" w:space="0" w:color="auto"/>
        <w:bottom w:val="none" w:sz="0" w:space="0" w:color="auto"/>
        <w:right w:val="none" w:sz="0" w:space="0" w:color="auto"/>
      </w:divBdr>
    </w:div>
    <w:div w:id="933248448">
      <w:bodyDiv w:val="1"/>
      <w:marLeft w:val="0"/>
      <w:marRight w:val="0"/>
      <w:marTop w:val="0"/>
      <w:marBottom w:val="0"/>
      <w:divBdr>
        <w:top w:val="none" w:sz="0" w:space="0" w:color="auto"/>
        <w:left w:val="none" w:sz="0" w:space="0" w:color="auto"/>
        <w:bottom w:val="none" w:sz="0" w:space="0" w:color="auto"/>
        <w:right w:val="none" w:sz="0" w:space="0" w:color="auto"/>
      </w:divBdr>
    </w:div>
    <w:div w:id="1165121455">
      <w:bodyDiv w:val="1"/>
      <w:marLeft w:val="0"/>
      <w:marRight w:val="0"/>
      <w:marTop w:val="0"/>
      <w:marBottom w:val="0"/>
      <w:divBdr>
        <w:top w:val="none" w:sz="0" w:space="0" w:color="auto"/>
        <w:left w:val="none" w:sz="0" w:space="0" w:color="auto"/>
        <w:bottom w:val="none" w:sz="0" w:space="0" w:color="auto"/>
        <w:right w:val="none" w:sz="0" w:space="0" w:color="auto"/>
      </w:divBdr>
      <w:divsChild>
        <w:div w:id="1700743929">
          <w:marLeft w:val="0"/>
          <w:marRight w:val="0"/>
          <w:marTop w:val="0"/>
          <w:marBottom w:val="0"/>
          <w:divBdr>
            <w:top w:val="none" w:sz="0" w:space="0" w:color="auto"/>
            <w:left w:val="none" w:sz="0" w:space="0" w:color="auto"/>
            <w:bottom w:val="none" w:sz="0" w:space="0" w:color="auto"/>
            <w:right w:val="none" w:sz="0" w:space="0" w:color="auto"/>
          </w:divBdr>
        </w:div>
      </w:divsChild>
    </w:div>
    <w:div w:id="1275864989">
      <w:bodyDiv w:val="1"/>
      <w:marLeft w:val="0"/>
      <w:marRight w:val="0"/>
      <w:marTop w:val="0"/>
      <w:marBottom w:val="0"/>
      <w:divBdr>
        <w:top w:val="none" w:sz="0" w:space="0" w:color="auto"/>
        <w:left w:val="none" w:sz="0" w:space="0" w:color="auto"/>
        <w:bottom w:val="none" w:sz="0" w:space="0" w:color="auto"/>
        <w:right w:val="none" w:sz="0" w:space="0" w:color="auto"/>
      </w:divBdr>
    </w:div>
    <w:div w:id="1422490449">
      <w:bodyDiv w:val="1"/>
      <w:marLeft w:val="0"/>
      <w:marRight w:val="0"/>
      <w:marTop w:val="0"/>
      <w:marBottom w:val="0"/>
      <w:divBdr>
        <w:top w:val="none" w:sz="0" w:space="0" w:color="auto"/>
        <w:left w:val="none" w:sz="0" w:space="0" w:color="auto"/>
        <w:bottom w:val="none" w:sz="0" w:space="0" w:color="auto"/>
        <w:right w:val="none" w:sz="0" w:space="0" w:color="auto"/>
      </w:divBdr>
    </w:div>
    <w:div w:id="1621296734">
      <w:bodyDiv w:val="1"/>
      <w:marLeft w:val="0"/>
      <w:marRight w:val="0"/>
      <w:marTop w:val="0"/>
      <w:marBottom w:val="0"/>
      <w:divBdr>
        <w:top w:val="none" w:sz="0" w:space="0" w:color="auto"/>
        <w:left w:val="none" w:sz="0" w:space="0" w:color="auto"/>
        <w:bottom w:val="none" w:sz="0" w:space="0" w:color="auto"/>
        <w:right w:val="none" w:sz="0" w:space="0" w:color="auto"/>
      </w:divBdr>
    </w:div>
    <w:div w:id="1755737330">
      <w:bodyDiv w:val="1"/>
      <w:marLeft w:val="0"/>
      <w:marRight w:val="0"/>
      <w:marTop w:val="0"/>
      <w:marBottom w:val="0"/>
      <w:divBdr>
        <w:top w:val="none" w:sz="0" w:space="0" w:color="auto"/>
        <w:left w:val="none" w:sz="0" w:space="0" w:color="auto"/>
        <w:bottom w:val="none" w:sz="0" w:space="0" w:color="auto"/>
        <w:right w:val="none" w:sz="0" w:space="0" w:color="auto"/>
      </w:divBdr>
    </w:div>
    <w:div w:id="21401482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mation@dei.g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r@ppc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7e01fe4-ae50-4c57-9906-a3e0af1b3929" xsi:nil="true"/>
    <lcf76f155ced4ddcb4097134ff3c332f xmlns="d4a73344-bfe6-440b-9b69-98a86bbafe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156DD0188A2F454B943ADEE99353ADCA" ma:contentTypeVersion="20" ma:contentTypeDescription="Δημιουργία νέου εγγράφου" ma:contentTypeScope="" ma:versionID="e39ce4dff06c5d1501f96686d94f339f">
  <xsd:schema xmlns:xsd="http://www.w3.org/2001/XMLSchema" xmlns:xs="http://www.w3.org/2001/XMLSchema" xmlns:p="http://schemas.microsoft.com/office/2006/metadata/properties" xmlns:ns2="d4a73344-bfe6-440b-9b69-98a86bbafe65" xmlns:ns3="a7e01fe4-ae50-4c57-9906-a3e0af1b3929" targetNamespace="http://schemas.microsoft.com/office/2006/metadata/properties" ma:root="true" ma:fieldsID="a9b3cb088f9749417b872dcdc11360e1" ns2:_="" ns3:_="">
    <xsd:import namespace="d4a73344-bfe6-440b-9b69-98a86bbafe65"/>
    <xsd:import namespace="a7e01fe4-ae50-4c57-9906-a3e0af1b3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3344-bfe6-440b-9b69-98a86bbaf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8e84d12a-bbe8-425e-a1dd-79ebf8e7e8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e01fe4-ae50-4c57-9906-a3e0af1b39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ce3957d-0996-4bd8-adeb-86c932f9cb50}" ma:internalName="TaxCatchAll" ma:showField="CatchAllData" ma:web="a7e01fe4-ae50-4c57-9906-a3e0af1b392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2FCB-7B41-4761-9AA7-76D41FD382B9}">
  <ds:schemaRefs>
    <ds:schemaRef ds:uri="http://schemas.microsoft.com/sharepoint/v3/contenttype/forms"/>
  </ds:schemaRefs>
</ds:datastoreItem>
</file>

<file path=customXml/itemProps2.xml><?xml version="1.0" encoding="utf-8"?>
<ds:datastoreItem xmlns:ds="http://schemas.openxmlformats.org/officeDocument/2006/customXml" ds:itemID="{33BE97F6-0ADB-4EED-A5EB-CFA6B4A1D925}">
  <ds:schemaRefs>
    <ds:schemaRef ds:uri="http://schemas.microsoft.com/office/2006/metadata/properties"/>
    <ds:schemaRef ds:uri="http://schemas.microsoft.com/office/infopath/2007/PartnerControls"/>
    <ds:schemaRef ds:uri="a7e01fe4-ae50-4c57-9906-a3e0af1b3929"/>
    <ds:schemaRef ds:uri="d4a73344-bfe6-440b-9b69-98a86bbafe65"/>
  </ds:schemaRefs>
</ds:datastoreItem>
</file>

<file path=customXml/itemProps3.xml><?xml version="1.0" encoding="utf-8"?>
<ds:datastoreItem xmlns:ds="http://schemas.openxmlformats.org/officeDocument/2006/customXml" ds:itemID="{E882BE68-6F2C-4D1C-ABBE-038556057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3344-bfe6-440b-9b69-98a86bbafe65"/>
    <ds:schemaRef ds:uri="a7e01fe4-ae50-4c57-9906-a3e0af1b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414C3-897F-CA45-994C-929EB21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2195</Words>
  <Characters>11853</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Chatzakis Emmanouil</cp:lastModifiedBy>
  <cp:revision>3</cp:revision>
  <cp:lastPrinted>2020-10-15T15:32:00Z</cp:lastPrinted>
  <dcterms:created xsi:type="dcterms:W3CDTF">2024-04-09T06:36:00Z</dcterms:created>
  <dcterms:modified xsi:type="dcterms:W3CDTF">2024-04-09T06:36:00Z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0x010100156DD0188A2F454B943ADEE99353ADCA</vt:lpwstr>
  </property>
  <property fmtid="{D5CDD505-2E9C-101B-9397-08002B2CF9AE}" pid="3" name="MediaServiceImageTags">
    <vt:lpwstr/>
  </property>
</Properties>
</file>