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6377" w14:textId="77777777" w:rsidR="003E18A7" w:rsidRPr="000004E8" w:rsidRDefault="00AD6528" w:rsidP="00F357BF">
      <w:pPr>
        <w:spacing w:after="120" w:line="300" w:lineRule="auto"/>
        <w:jc w:val="center"/>
        <w:rPr>
          <w:rFonts w:cstheme="minorHAnsi"/>
          <w:b/>
        </w:rPr>
      </w:pPr>
      <w:bookmarkStart w:id="0" w:name="_GoBack"/>
      <w:bookmarkEnd w:id="0"/>
      <w:r w:rsidRPr="000004E8">
        <w:rPr>
          <w:rFonts w:cstheme="minorHAnsi"/>
          <w:b/>
        </w:rPr>
        <w:t xml:space="preserve">ΤΡΟΠΟΛΟΓΙΑ – ΠΡΟΣΘΗΚΗ </w:t>
      </w:r>
    </w:p>
    <w:p w14:paraId="21A6187C" w14:textId="6574225E" w:rsidR="00AD6528" w:rsidRPr="000004E8" w:rsidRDefault="00AD6528" w:rsidP="00F357BF">
      <w:pPr>
        <w:spacing w:after="120" w:line="300" w:lineRule="auto"/>
        <w:jc w:val="center"/>
        <w:rPr>
          <w:rFonts w:cstheme="minorHAnsi"/>
          <w:b/>
        </w:rPr>
      </w:pPr>
      <w:r w:rsidRPr="000004E8">
        <w:rPr>
          <w:rFonts w:cstheme="minorHAnsi"/>
          <w:b/>
        </w:rPr>
        <w:t>ΣΤΟ ΣΧΕΔΙΟ ΝΟΜΟΥ «ΕΚΣΥΓΧΡΟΝΙΣΜΟΣ ΤΗΣ ΧΩΡΟΤΑΞΙΚΗΣ ΚΑΙ ΠΟΛΕΟΔΟΜΙΚΗΣ ΝΟΜΟΘΕΣΙΑΣ»</w:t>
      </w:r>
    </w:p>
    <w:p w14:paraId="282975B6" w14:textId="181F306F" w:rsidR="00AD6528" w:rsidRPr="000004E8" w:rsidRDefault="00465858" w:rsidP="00F357BF">
      <w:pPr>
        <w:spacing w:after="120" w:line="300" w:lineRule="auto"/>
        <w:jc w:val="center"/>
        <w:rPr>
          <w:rFonts w:cstheme="minorHAnsi"/>
          <w:b/>
        </w:rPr>
      </w:pPr>
      <w:r w:rsidRPr="000004E8">
        <w:rPr>
          <w:rFonts w:cstheme="minorHAnsi"/>
          <w:b/>
        </w:rPr>
        <w:t>~ ΠΡΟΤΕΙΝΟΜΕΝΕΣ ΔΙΑΤΑΞΕΙΣ ~</w:t>
      </w:r>
    </w:p>
    <w:p w14:paraId="1C7447F8" w14:textId="77777777" w:rsidR="00B10950" w:rsidRDefault="00B10950" w:rsidP="00F357BF">
      <w:pPr>
        <w:spacing w:after="120" w:line="300" w:lineRule="auto"/>
        <w:jc w:val="center"/>
        <w:rPr>
          <w:rFonts w:cstheme="minorHAnsi"/>
          <w:b/>
        </w:rPr>
      </w:pPr>
    </w:p>
    <w:p w14:paraId="33F9AA38" w14:textId="577314EE" w:rsidR="00B10950" w:rsidRPr="006C26D3" w:rsidRDefault="00B10950" w:rsidP="00B10950">
      <w:pPr>
        <w:spacing w:after="120" w:line="300" w:lineRule="auto"/>
        <w:rPr>
          <w:rFonts w:cstheme="minorHAnsi"/>
        </w:rPr>
      </w:pPr>
      <w:r>
        <w:rPr>
          <w:rFonts w:cstheme="minorHAnsi"/>
        </w:rPr>
        <w:t xml:space="preserve">Στο σχέδιο νόμου προστίθεται Κεφάλαιο </w:t>
      </w:r>
      <w:r w:rsidR="006C26D3">
        <w:rPr>
          <w:rFonts w:cstheme="minorHAnsi"/>
        </w:rPr>
        <w:t>ΙΓ’</w:t>
      </w:r>
      <w:r w:rsidR="00C51481">
        <w:rPr>
          <w:rFonts w:cstheme="minorHAnsi"/>
        </w:rPr>
        <w:t xml:space="preserve"> </w:t>
      </w:r>
      <w:r>
        <w:rPr>
          <w:rFonts w:cstheme="minorHAnsi"/>
        </w:rPr>
        <w:t>με τίτλο «ΕΝΕΡΓΕΙΑΚΕΣ ΡΥΘΜΙΣΕΙΣ».</w:t>
      </w:r>
    </w:p>
    <w:p w14:paraId="637FBE9C" w14:textId="32880B62" w:rsidR="00B102DE" w:rsidRPr="000004E8" w:rsidRDefault="00B102DE" w:rsidP="00F357BF">
      <w:pPr>
        <w:spacing w:after="120" w:line="300" w:lineRule="auto"/>
        <w:jc w:val="center"/>
        <w:rPr>
          <w:rFonts w:cstheme="minorHAnsi"/>
          <w:b/>
        </w:rPr>
      </w:pPr>
      <w:r w:rsidRPr="000004E8">
        <w:rPr>
          <w:rFonts w:cstheme="minorHAnsi"/>
          <w:b/>
        </w:rPr>
        <w:t>Άρθρο 1</w:t>
      </w:r>
    </w:p>
    <w:p w14:paraId="36C0592A" w14:textId="77777777" w:rsidR="00B102DE" w:rsidRPr="000004E8" w:rsidRDefault="00B102DE" w:rsidP="00F357BF">
      <w:pPr>
        <w:spacing w:after="120" w:line="300" w:lineRule="auto"/>
        <w:jc w:val="center"/>
        <w:rPr>
          <w:rFonts w:cstheme="minorHAnsi"/>
          <w:b/>
        </w:rPr>
      </w:pPr>
      <w:r w:rsidRPr="000004E8">
        <w:rPr>
          <w:rFonts w:cstheme="minorHAnsi"/>
          <w:b/>
        </w:rPr>
        <w:t>Ζώνες Απολιγνιτοποίησης (Ζ.ΑΠ.) – Eιδικά Πολεοδομικά Σχέδια (Ε.Π.Σ.)</w:t>
      </w:r>
    </w:p>
    <w:p w14:paraId="0C2968B8" w14:textId="3A8F949D" w:rsidR="00B102DE" w:rsidRPr="000004E8" w:rsidRDefault="00B102DE" w:rsidP="00F357BF">
      <w:pPr>
        <w:spacing w:after="60" w:line="300" w:lineRule="auto"/>
        <w:jc w:val="both"/>
        <w:rPr>
          <w:rFonts w:cstheme="minorHAnsi"/>
        </w:rPr>
      </w:pPr>
      <w:r w:rsidRPr="000004E8">
        <w:rPr>
          <w:rFonts w:cstheme="minorHAnsi"/>
        </w:rPr>
        <w:t>1.</w:t>
      </w:r>
      <w:r w:rsidR="003E18A7" w:rsidRPr="000004E8">
        <w:rPr>
          <w:rFonts w:cstheme="minorHAnsi"/>
        </w:rPr>
        <w:t xml:space="preserve"> </w:t>
      </w:r>
      <w:r w:rsidRPr="000004E8">
        <w:rPr>
          <w:rFonts w:cstheme="minorHAnsi"/>
        </w:rPr>
        <w:t>Χαρακτηρίζονται ως «Ζώνες Απολιγνιτοποίησης» (Ζ.ΑΠ.):</w:t>
      </w:r>
    </w:p>
    <w:p w14:paraId="2BA300C2" w14:textId="712300D5" w:rsidR="00B102DE" w:rsidRPr="000004E8" w:rsidRDefault="00B102DE" w:rsidP="00F357BF">
      <w:pPr>
        <w:spacing w:after="60" w:line="300" w:lineRule="auto"/>
        <w:jc w:val="both"/>
        <w:rPr>
          <w:rFonts w:cstheme="minorHAnsi"/>
        </w:rPr>
      </w:pPr>
      <w:r w:rsidRPr="000004E8">
        <w:rPr>
          <w:rFonts w:cstheme="minorHAnsi"/>
        </w:rPr>
        <w:t xml:space="preserve">α. Οι </w:t>
      </w:r>
      <w:r w:rsidR="00105AE8" w:rsidRPr="000004E8">
        <w:rPr>
          <w:rFonts w:cstheme="minorHAnsi"/>
        </w:rPr>
        <w:t>Π</w:t>
      </w:r>
      <w:r w:rsidRPr="000004E8">
        <w:rPr>
          <w:rFonts w:cstheme="minorHAnsi"/>
        </w:rPr>
        <w:t xml:space="preserve">εριφερειακές </w:t>
      </w:r>
      <w:r w:rsidR="00105AE8" w:rsidRPr="000004E8">
        <w:rPr>
          <w:rFonts w:cstheme="minorHAnsi"/>
        </w:rPr>
        <w:t>Ε</w:t>
      </w:r>
      <w:r w:rsidRPr="000004E8">
        <w:rPr>
          <w:rFonts w:cstheme="minorHAnsi"/>
        </w:rPr>
        <w:t>νότητες Κοζάνης και Φλώρινας της Περιφέρειας Δυτικής Μακεδονίας, με την ονομασία «Ζώνη Απολιγνιτοποίησης Κοζάνης» (Ζ.ΑΠ. Κοζάνης) και «Ζώνη Απολιγνιτοποίησης Φλώρινας» (Ζ.ΑΠ. Φλώρινας)</w:t>
      </w:r>
      <w:r w:rsidR="003E18A7" w:rsidRPr="000004E8">
        <w:rPr>
          <w:rFonts w:cstheme="minorHAnsi"/>
        </w:rPr>
        <w:t>,</w:t>
      </w:r>
      <w:r w:rsidRPr="000004E8">
        <w:rPr>
          <w:rFonts w:cstheme="minorHAnsi"/>
        </w:rPr>
        <w:t xml:space="preserve"> αντίστοιχα.</w:t>
      </w:r>
    </w:p>
    <w:p w14:paraId="2760E8DF" w14:textId="3445BBC2" w:rsidR="00B102DE" w:rsidRPr="000004E8" w:rsidRDefault="00B102DE" w:rsidP="00F357BF">
      <w:pPr>
        <w:spacing w:after="60" w:line="300" w:lineRule="auto"/>
        <w:jc w:val="both"/>
        <w:rPr>
          <w:rFonts w:cstheme="minorHAnsi"/>
        </w:rPr>
      </w:pPr>
      <w:r w:rsidRPr="000004E8">
        <w:rPr>
          <w:rFonts w:cstheme="minorHAnsi"/>
        </w:rPr>
        <w:t>β. Ο Δήμος Μεγαλόπολης της Περιφέρειας Πελοποννήσου</w:t>
      </w:r>
      <w:r w:rsidR="003E18A7" w:rsidRPr="000004E8">
        <w:rPr>
          <w:rFonts w:cstheme="minorHAnsi"/>
        </w:rPr>
        <w:t>,</w:t>
      </w:r>
      <w:r w:rsidRPr="000004E8">
        <w:rPr>
          <w:rFonts w:cstheme="minorHAnsi"/>
        </w:rPr>
        <w:t xml:space="preserve"> με την ονομασία «Ζώνη Απολιγνιτοποίησης Μεγαλόπολης» (Ζ.ΑΠ. Μεγαλόπολης).</w:t>
      </w:r>
    </w:p>
    <w:p w14:paraId="4BD2770C" w14:textId="4B945033" w:rsidR="00B102DE" w:rsidRPr="000004E8" w:rsidRDefault="00B102DE" w:rsidP="00F357BF">
      <w:pPr>
        <w:spacing w:after="60" w:line="300" w:lineRule="auto"/>
        <w:jc w:val="both"/>
        <w:rPr>
          <w:rFonts w:cstheme="minorHAnsi"/>
        </w:rPr>
      </w:pPr>
      <w:r w:rsidRPr="000004E8">
        <w:rPr>
          <w:rFonts w:cstheme="minorHAnsi"/>
        </w:rPr>
        <w:t>Χαρακτηρίζονται ως «Πυρήνες» των ως άνω Ζωνών Απολιγνιτοποίησης Κοζάνης, Φλώρινας και Μεγαλόπολης οι αντίστοιχες περιοχές των λιγνιτικών πεδίων και μονάδων παραγωγής ενέργειας της Δ</w:t>
      </w:r>
      <w:r w:rsidR="003E18A7" w:rsidRPr="000004E8">
        <w:rPr>
          <w:rFonts w:cstheme="minorHAnsi"/>
        </w:rPr>
        <w:t>.</w:t>
      </w:r>
      <w:r w:rsidRPr="000004E8">
        <w:rPr>
          <w:rFonts w:cstheme="minorHAnsi"/>
        </w:rPr>
        <w:t>Ε</w:t>
      </w:r>
      <w:r w:rsidR="003E18A7" w:rsidRPr="000004E8">
        <w:rPr>
          <w:rFonts w:cstheme="minorHAnsi"/>
        </w:rPr>
        <w:t>.</w:t>
      </w:r>
      <w:r w:rsidRPr="000004E8">
        <w:rPr>
          <w:rFonts w:cstheme="minorHAnsi"/>
        </w:rPr>
        <w:t>Η</w:t>
      </w:r>
      <w:r w:rsidR="003E18A7" w:rsidRPr="000004E8">
        <w:rPr>
          <w:rFonts w:cstheme="minorHAnsi"/>
        </w:rPr>
        <w:t>.</w:t>
      </w:r>
      <w:r w:rsidRPr="000004E8">
        <w:rPr>
          <w:rFonts w:cstheme="minorHAnsi"/>
        </w:rPr>
        <w:t xml:space="preserve"> Α</w:t>
      </w:r>
      <w:r w:rsidR="003E18A7" w:rsidRPr="000004E8">
        <w:rPr>
          <w:rFonts w:cstheme="minorHAnsi"/>
        </w:rPr>
        <w:t>.</w:t>
      </w:r>
      <w:r w:rsidRPr="000004E8">
        <w:rPr>
          <w:rFonts w:cstheme="minorHAnsi"/>
        </w:rPr>
        <w:t>Ε</w:t>
      </w:r>
      <w:r w:rsidR="003E18A7" w:rsidRPr="000004E8">
        <w:rPr>
          <w:rFonts w:cstheme="minorHAnsi"/>
        </w:rPr>
        <w:t>.</w:t>
      </w:r>
      <w:r w:rsidRPr="000004E8">
        <w:rPr>
          <w:rFonts w:cstheme="minorHAnsi"/>
        </w:rPr>
        <w:t xml:space="preserve"> που βρίσκονται εντός των ορίων των Ζ.ΑΠ.</w:t>
      </w:r>
      <w:r w:rsidR="003E18A7" w:rsidRPr="000004E8">
        <w:rPr>
          <w:rFonts w:cstheme="minorHAnsi"/>
        </w:rPr>
        <w:t>.</w:t>
      </w:r>
    </w:p>
    <w:p w14:paraId="642DDE80" w14:textId="66E3DA0C" w:rsidR="00B102DE" w:rsidRPr="000004E8" w:rsidRDefault="00B102DE" w:rsidP="00F357BF">
      <w:pPr>
        <w:spacing w:after="60" w:line="300" w:lineRule="auto"/>
        <w:jc w:val="both"/>
        <w:rPr>
          <w:rFonts w:eastAsia="Calibri" w:cstheme="minorHAnsi"/>
        </w:rPr>
      </w:pPr>
      <w:r w:rsidRPr="000004E8">
        <w:rPr>
          <w:rFonts w:eastAsia="Calibri" w:cstheme="minorHAnsi"/>
        </w:rPr>
        <w:t xml:space="preserve">Εντός των Ζ.ΑΠ. καταστρώνονται και εκτελούνται </w:t>
      </w:r>
      <w:r w:rsidR="004835B4" w:rsidRPr="000004E8">
        <w:rPr>
          <w:rFonts w:eastAsia="Calibri" w:cstheme="minorHAnsi"/>
        </w:rPr>
        <w:t xml:space="preserve">δράσεις και </w:t>
      </w:r>
      <w:r w:rsidRPr="000004E8">
        <w:rPr>
          <w:rFonts w:eastAsia="Calibri" w:cstheme="minorHAnsi"/>
        </w:rPr>
        <w:t>προγράμματα, υλοποιούνται παρεμβάσεις και λαμβάνονται μέτρα για την εξυπηρέτηση των σκοπών της δίκαιης αναπτυξιακής μετάβασης των λιγνιτικών περιοχών.</w:t>
      </w:r>
    </w:p>
    <w:p w14:paraId="78A6650C" w14:textId="38EDEE09" w:rsidR="00B102DE" w:rsidRPr="000004E8" w:rsidRDefault="00B102DE" w:rsidP="00F357BF">
      <w:pPr>
        <w:pStyle w:val="a5"/>
        <w:spacing w:after="60" w:line="300" w:lineRule="auto"/>
        <w:jc w:val="both"/>
        <w:rPr>
          <w:rFonts w:cstheme="minorHAnsi"/>
          <w:sz w:val="22"/>
          <w:szCs w:val="22"/>
        </w:rPr>
      </w:pPr>
      <w:r w:rsidRPr="000004E8">
        <w:rPr>
          <w:rFonts w:cstheme="minorHAnsi"/>
          <w:sz w:val="22"/>
          <w:szCs w:val="22"/>
        </w:rPr>
        <w:t>3.</w:t>
      </w:r>
      <w:r w:rsidR="004835B4" w:rsidRPr="000004E8">
        <w:rPr>
          <w:rFonts w:cstheme="minorHAnsi"/>
          <w:sz w:val="22"/>
          <w:szCs w:val="22"/>
        </w:rPr>
        <w:t xml:space="preserve"> </w:t>
      </w:r>
      <w:r w:rsidRPr="000004E8">
        <w:rPr>
          <w:rFonts w:cstheme="minorHAnsi"/>
          <w:sz w:val="22"/>
          <w:szCs w:val="22"/>
        </w:rPr>
        <w:t>Με προγραμματική σύμβαση μεταξύ του Υπουργ</w:t>
      </w:r>
      <w:r w:rsidR="004835B4" w:rsidRPr="000004E8">
        <w:rPr>
          <w:rFonts w:cstheme="minorHAnsi"/>
          <w:sz w:val="22"/>
          <w:szCs w:val="22"/>
        </w:rPr>
        <w:t>είου</w:t>
      </w:r>
      <w:r w:rsidRPr="000004E8">
        <w:rPr>
          <w:rFonts w:cstheme="minorHAnsi"/>
          <w:sz w:val="22"/>
          <w:szCs w:val="22"/>
        </w:rPr>
        <w:t xml:space="preserve"> Περιβάλλοντος και Ενέργειας και της </w:t>
      </w:r>
      <w:r w:rsidR="00105AE8" w:rsidRPr="000004E8">
        <w:rPr>
          <w:rFonts w:cstheme="minorHAnsi"/>
          <w:sz w:val="22"/>
          <w:szCs w:val="22"/>
        </w:rPr>
        <w:t>Ανώνυμης Εταιρείας με την επωνυμία Δημόσια Επιχείρηση Ηλεκτρισμού (</w:t>
      </w:r>
      <w:r w:rsidRPr="000004E8">
        <w:rPr>
          <w:rFonts w:cstheme="minorHAnsi"/>
          <w:sz w:val="22"/>
          <w:szCs w:val="22"/>
        </w:rPr>
        <w:t>Δ</w:t>
      </w:r>
      <w:r w:rsidR="004835B4" w:rsidRPr="000004E8">
        <w:rPr>
          <w:rFonts w:cstheme="minorHAnsi"/>
          <w:sz w:val="22"/>
          <w:szCs w:val="22"/>
        </w:rPr>
        <w:t>.</w:t>
      </w:r>
      <w:r w:rsidRPr="000004E8">
        <w:rPr>
          <w:rFonts w:cstheme="minorHAnsi"/>
          <w:sz w:val="22"/>
          <w:szCs w:val="22"/>
        </w:rPr>
        <w:t>Ε</w:t>
      </w:r>
      <w:r w:rsidR="004835B4" w:rsidRPr="000004E8">
        <w:rPr>
          <w:rFonts w:cstheme="minorHAnsi"/>
          <w:sz w:val="22"/>
          <w:szCs w:val="22"/>
        </w:rPr>
        <w:t>.</w:t>
      </w:r>
      <w:r w:rsidRPr="000004E8">
        <w:rPr>
          <w:rFonts w:cstheme="minorHAnsi"/>
          <w:sz w:val="22"/>
          <w:szCs w:val="22"/>
        </w:rPr>
        <w:t>Η</w:t>
      </w:r>
      <w:r w:rsidR="004835B4" w:rsidRPr="000004E8">
        <w:rPr>
          <w:rFonts w:cstheme="minorHAnsi"/>
          <w:sz w:val="22"/>
          <w:szCs w:val="22"/>
        </w:rPr>
        <w:t>.</w:t>
      </w:r>
      <w:r w:rsidRPr="000004E8">
        <w:rPr>
          <w:rFonts w:cstheme="minorHAnsi"/>
          <w:sz w:val="22"/>
          <w:szCs w:val="22"/>
        </w:rPr>
        <w:t xml:space="preserve"> Α</w:t>
      </w:r>
      <w:r w:rsidR="004835B4" w:rsidRPr="000004E8">
        <w:rPr>
          <w:rFonts w:cstheme="minorHAnsi"/>
          <w:sz w:val="22"/>
          <w:szCs w:val="22"/>
        </w:rPr>
        <w:t>.</w:t>
      </w:r>
      <w:r w:rsidRPr="000004E8">
        <w:rPr>
          <w:rFonts w:cstheme="minorHAnsi"/>
          <w:sz w:val="22"/>
          <w:szCs w:val="22"/>
        </w:rPr>
        <w:t>Ε</w:t>
      </w:r>
      <w:r w:rsidR="004835B4" w:rsidRPr="000004E8">
        <w:rPr>
          <w:rFonts w:cstheme="minorHAnsi"/>
          <w:sz w:val="22"/>
          <w:szCs w:val="22"/>
        </w:rPr>
        <w:t>.</w:t>
      </w:r>
      <w:r w:rsidR="00105AE8" w:rsidRPr="000004E8">
        <w:rPr>
          <w:rFonts w:cstheme="minorHAnsi"/>
          <w:sz w:val="22"/>
          <w:szCs w:val="22"/>
        </w:rPr>
        <w:t>)</w:t>
      </w:r>
      <w:r w:rsidRPr="000004E8">
        <w:rPr>
          <w:rFonts w:cstheme="minorHAnsi"/>
          <w:sz w:val="22"/>
          <w:szCs w:val="22"/>
        </w:rPr>
        <w:t>, δύναται να ανατίθεται στη Δ</w:t>
      </w:r>
      <w:r w:rsidR="004835B4" w:rsidRPr="000004E8">
        <w:rPr>
          <w:rFonts w:cstheme="minorHAnsi"/>
          <w:sz w:val="22"/>
          <w:szCs w:val="22"/>
        </w:rPr>
        <w:t>.</w:t>
      </w:r>
      <w:r w:rsidRPr="000004E8">
        <w:rPr>
          <w:rFonts w:cstheme="minorHAnsi"/>
          <w:sz w:val="22"/>
          <w:szCs w:val="22"/>
        </w:rPr>
        <w:t>Ε</w:t>
      </w:r>
      <w:r w:rsidR="004835B4" w:rsidRPr="000004E8">
        <w:rPr>
          <w:rFonts w:cstheme="minorHAnsi"/>
          <w:sz w:val="22"/>
          <w:szCs w:val="22"/>
        </w:rPr>
        <w:t>.</w:t>
      </w:r>
      <w:r w:rsidRPr="000004E8">
        <w:rPr>
          <w:rFonts w:cstheme="minorHAnsi"/>
          <w:sz w:val="22"/>
          <w:szCs w:val="22"/>
        </w:rPr>
        <w:t>Η</w:t>
      </w:r>
      <w:r w:rsidR="004835B4" w:rsidRPr="000004E8">
        <w:rPr>
          <w:rFonts w:cstheme="minorHAnsi"/>
          <w:sz w:val="22"/>
          <w:szCs w:val="22"/>
        </w:rPr>
        <w:t>.</w:t>
      </w:r>
      <w:r w:rsidRPr="000004E8">
        <w:rPr>
          <w:rFonts w:cstheme="minorHAnsi"/>
          <w:sz w:val="22"/>
          <w:szCs w:val="22"/>
        </w:rPr>
        <w:t xml:space="preserve"> Α</w:t>
      </w:r>
      <w:r w:rsidR="004835B4" w:rsidRPr="000004E8">
        <w:rPr>
          <w:rFonts w:cstheme="minorHAnsi"/>
          <w:sz w:val="22"/>
          <w:szCs w:val="22"/>
        </w:rPr>
        <w:t>.</w:t>
      </w:r>
      <w:r w:rsidRPr="000004E8">
        <w:rPr>
          <w:rFonts w:cstheme="minorHAnsi"/>
          <w:sz w:val="22"/>
          <w:szCs w:val="22"/>
        </w:rPr>
        <w:t>Ε</w:t>
      </w:r>
      <w:r w:rsidR="004835B4" w:rsidRPr="000004E8">
        <w:rPr>
          <w:rFonts w:cstheme="minorHAnsi"/>
          <w:sz w:val="22"/>
          <w:szCs w:val="22"/>
        </w:rPr>
        <w:t>.</w:t>
      </w:r>
      <w:r w:rsidRPr="000004E8">
        <w:rPr>
          <w:rFonts w:cstheme="minorHAnsi"/>
          <w:sz w:val="22"/>
          <w:szCs w:val="22"/>
        </w:rPr>
        <w:t xml:space="preserve"> η διενέργεια διαγωνισμών για την εκπόνηση των μελετών των </w:t>
      </w:r>
      <w:r w:rsidR="008B3158">
        <w:rPr>
          <w:rFonts w:cstheme="minorHAnsi"/>
          <w:sz w:val="22"/>
          <w:szCs w:val="22"/>
        </w:rPr>
        <w:t>Ειδικών Πολεοδομικών Σχεδίων (</w:t>
      </w:r>
      <w:r w:rsidRPr="000004E8">
        <w:rPr>
          <w:rFonts w:cstheme="minorHAnsi"/>
          <w:sz w:val="22"/>
          <w:szCs w:val="22"/>
        </w:rPr>
        <w:t>Ε</w:t>
      </w:r>
      <w:r w:rsidR="004835B4" w:rsidRPr="000004E8">
        <w:rPr>
          <w:rFonts w:cstheme="minorHAnsi"/>
          <w:sz w:val="22"/>
          <w:szCs w:val="22"/>
        </w:rPr>
        <w:t>.</w:t>
      </w:r>
      <w:r w:rsidRPr="000004E8">
        <w:rPr>
          <w:rFonts w:cstheme="minorHAnsi"/>
          <w:sz w:val="22"/>
          <w:szCs w:val="22"/>
        </w:rPr>
        <w:t>Π</w:t>
      </w:r>
      <w:r w:rsidR="004835B4" w:rsidRPr="000004E8">
        <w:rPr>
          <w:rFonts w:cstheme="minorHAnsi"/>
          <w:sz w:val="22"/>
          <w:szCs w:val="22"/>
        </w:rPr>
        <w:t>.</w:t>
      </w:r>
      <w:r w:rsidRPr="000004E8">
        <w:rPr>
          <w:rFonts w:cstheme="minorHAnsi"/>
          <w:sz w:val="22"/>
          <w:szCs w:val="22"/>
        </w:rPr>
        <w:t>Σ</w:t>
      </w:r>
      <w:r w:rsidR="004835B4" w:rsidRPr="000004E8">
        <w:rPr>
          <w:rFonts w:cstheme="minorHAnsi"/>
          <w:sz w:val="22"/>
          <w:szCs w:val="22"/>
        </w:rPr>
        <w:t>.</w:t>
      </w:r>
      <w:r w:rsidR="008B3158">
        <w:rPr>
          <w:rFonts w:cstheme="minorHAnsi"/>
          <w:sz w:val="22"/>
          <w:szCs w:val="22"/>
        </w:rPr>
        <w:t>)</w:t>
      </w:r>
      <w:r w:rsidRPr="000004E8">
        <w:rPr>
          <w:rFonts w:cstheme="minorHAnsi"/>
          <w:sz w:val="22"/>
          <w:szCs w:val="22"/>
        </w:rPr>
        <w:t xml:space="preserve"> εντός των ανωτέρω Ζ.ΑΠ. με δαπάνες </w:t>
      </w:r>
      <w:r w:rsidR="00502265" w:rsidRPr="000004E8">
        <w:rPr>
          <w:rFonts w:cstheme="minorHAnsi"/>
          <w:sz w:val="22"/>
          <w:szCs w:val="22"/>
        </w:rPr>
        <w:t xml:space="preserve">της εταιρείας </w:t>
      </w:r>
      <w:r w:rsidRPr="000004E8">
        <w:rPr>
          <w:rFonts w:cstheme="minorHAnsi"/>
          <w:sz w:val="22"/>
          <w:szCs w:val="22"/>
        </w:rPr>
        <w:t>και να καθορίζονται οι ειδικότεροι όροι της συνεργασίας, συμπεριλαμβανομένων των αρμοδιοτήτων των Ειδικών Γνωμοδοτικών Επιτροπών του επόμενου εδαφίου κατά την προετοιμασία, ανάθεση και εκτέλεση των συμβάσεων μελετών.</w:t>
      </w:r>
      <w:r w:rsidR="00F357BF" w:rsidRPr="000004E8">
        <w:rPr>
          <w:rFonts w:cstheme="minorHAnsi"/>
          <w:sz w:val="22"/>
          <w:szCs w:val="22"/>
        </w:rPr>
        <w:t xml:space="preserve"> </w:t>
      </w:r>
      <w:r w:rsidRPr="000004E8">
        <w:rPr>
          <w:rFonts w:cstheme="minorHAnsi"/>
          <w:sz w:val="22"/>
          <w:szCs w:val="22"/>
        </w:rPr>
        <w:t xml:space="preserve">Με απόφαση του Υπουργού Περιβάλλοντος και Ενέργειας συγκροτούνται Ειδικές Γνωμοδοτικές Επιτροπές από στελέχη του Υπουργείου για να υποστηρίζουν τα αρμόδια όργανα της Δ.Ε.Η. Α.Ε. ως αναθέτουσας αρχής κατά την προετοιμασία και υλοποίηση των διαγωνιστικών διαδικασιών και την εκτέλεση των συμβάσεων μελετών. Η παραλαβή των μελετών </w:t>
      </w:r>
      <w:r w:rsidR="00502265" w:rsidRPr="000004E8">
        <w:rPr>
          <w:rFonts w:cstheme="minorHAnsi"/>
          <w:sz w:val="22"/>
          <w:szCs w:val="22"/>
        </w:rPr>
        <w:t xml:space="preserve">για τα </w:t>
      </w:r>
      <w:r w:rsidRPr="000004E8">
        <w:rPr>
          <w:rFonts w:cstheme="minorHAnsi"/>
          <w:sz w:val="22"/>
          <w:szCs w:val="22"/>
        </w:rPr>
        <w:t>Ε</w:t>
      </w:r>
      <w:r w:rsidR="00502265" w:rsidRPr="000004E8">
        <w:rPr>
          <w:rFonts w:cstheme="minorHAnsi"/>
          <w:sz w:val="22"/>
          <w:szCs w:val="22"/>
        </w:rPr>
        <w:t>.</w:t>
      </w:r>
      <w:r w:rsidRPr="000004E8">
        <w:rPr>
          <w:rFonts w:cstheme="minorHAnsi"/>
          <w:sz w:val="22"/>
          <w:szCs w:val="22"/>
        </w:rPr>
        <w:t>Π</w:t>
      </w:r>
      <w:r w:rsidR="00502265" w:rsidRPr="000004E8">
        <w:rPr>
          <w:rFonts w:cstheme="minorHAnsi"/>
          <w:sz w:val="22"/>
          <w:szCs w:val="22"/>
        </w:rPr>
        <w:t>.</w:t>
      </w:r>
      <w:r w:rsidRPr="000004E8">
        <w:rPr>
          <w:rFonts w:cstheme="minorHAnsi"/>
          <w:sz w:val="22"/>
          <w:szCs w:val="22"/>
        </w:rPr>
        <w:t>Σ</w:t>
      </w:r>
      <w:r w:rsidR="00502265" w:rsidRPr="000004E8">
        <w:rPr>
          <w:rFonts w:cstheme="minorHAnsi"/>
          <w:sz w:val="22"/>
          <w:szCs w:val="22"/>
        </w:rPr>
        <w:t>.</w:t>
      </w:r>
      <w:r w:rsidRPr="000004E8">
        <w:rPr>
          <w:rFonts w:cstheme="minorHAnsi"/>
          <w:sz w:val="22"/>
          <w:szCs w:val="22"/>
        </w:rPr>
        <w:t xml:space="preserve"> των Ζ.ΑΠ. διενεργείται μετά τη σύμφωνη γνώμη των ως άνω Ειδικών Γνωμοδοτικών Επιτροπών. </w:t>
      </w:r>
    </w:p>
    <w:p w14:paraId="227F7C97" w14:textId="01290C00" w:rsidR="00B102DE" w:rsidRPr="000004E8" w:rsidRDefault="00B102DE" w:rsidP="00F357BF">
      <w:pPr>
        <w:spacing w:after="60" w:line="300" w:lineRule="auto"/>
        <w:jc w:val="both"/>
        <w:rPr>
          <w:rFonts w:cstheme="minorHAnsi"/>
        </w:rPr>
      </w:pPr>
      <w:r w:rsidRPr="000004E8">
        <w:rPr>
          <w:rFonts w:cstheme="minorHAnsi"/>
        </w:rPr>
        <w:t>4. Με προγραμματική σύμβαση μεταξύ του Υπουργ</w:t>
      </w:r>
      <w:r w:rsidR="00502265" w:rsidRPr="000004E8">
        <w:rPr>
          <w:rFonts w:cstheme="minorHAnsi"/>
        </w:rPr>
        <w:t>είου</w:t>
      </w:r>
      <w:r w:rsidRPr="000004E8">
        <w:rPr>
          <w:rFonts w:cstheme="minorHAnsi"/>
        </w:rPr>
        <w:t xml:space="preserve"> Περιβάλλοντος και Ενέργειας και της Δ</w:t>
      </w:r>
      <w:r w:rsidR="00502265" w:rsidRPr="000004E8">
        <w:rPr>
          <w:rFonts w:cstheme="minorHAnsi"/>
        </w:rPr>
        <w:t>.</w:t>
      </w:r>
      <w:r w:rsidRPr="000004E8">
        <w:rPr>
          <w:rFonts w:cstheme="minorHAnsi"/>
        </w:rPr>
        <w:t>Ε</w:t>
      </w:r>
      <w:r w:rsidR="00502265" w:rsidRPr="000004E8">
        <w:rPr>
          <w:rFonts w:cstheme="minorHAnsi"/>
        </w:rPr>
        <w:t>.</w:t>
      </w:r>
      <w:r w:rsidRPr="000004E8">
        <w:rPr>
          <w:rFonts w:cstheme="minorHAnsi"/>
        </w:rPr>
        <w:t>Η</w:t>
      </w:r>
      <w:r w:rsidR="00502265" w:rsidRPr="000004E8">
        <w:rPr>
          <w:rFonts w:cstheme="minorHAnsi"/>
        </w:rPr>
        <w:t>.</w:t>
      </w:r>
      <w:r w:rsidRPr="000004E8">
        <w:rPr>
          <w:rFonts w:cstheme="minorHAnsi"/>
        </w:rPr>
        <w:t xml:space="preserve"> Α</w:t>
      </w:r>
      <w:r w:rsidR="00502265" w:rsidRPr="000004E8">
        <w:rPr>
          <w:rFonts w:cstheme="minorHAnsi"/>
        </w:rPr>
        <w:t>.</w:t>
      </w:r>
      <w:r w:rsidRPr="000004E8">
        <w:rPr>
          <w:rFonts w:cstheme="minorHAnsi"/>
        </w:rPr>
        <w:t>Ε</w:t>
      </w:r>
      <w:r w:rsidR="00502265" w:rsidRPr="000004E8">
        <w:rPr>
          <w:rFonts w:cstheme="minorHAnsi"/>
        </w:rPr>
        <w:t>.</w:t>
      </w:r>
      <w:r w:rsidRPr="000004E8">
        <w:rPr>
          <w:rFonts w:cstheme="minorHAnsi"/>
        </w:rPr>
        <w:t xml:space="preserve">, η οποία κυρώνεται από τη Βουλή, δύναται να ανατίθεται στη </w:t>
      </w:r>
      <w:bookmarkStart w:id="1" w:name="_Hlk57463596"/>
      <w:r w:rsidRPr="000004E8">
        <w:rPr>
          <w:rFonts w:cstheme="minorHAnsi"/>
        </w:rPr>
        <w:t>Δ</w:t>
      </w:r>
      <w:r w:rsidR="00502265" w:rsidRPr="000004E8">
        <w:rPr>
          <w:rFonts w:cstheme="minorHAnsi"/>
        </w:rPr>
        <w:t>.</w:t>
      </w:r>
      <w:r w:rsidRPr="000004E8">
        <w:rPr>
          <w:rFonts w:cstheme="minorHAnsi"/>
        </w:rPr>
        <w:t>Ε</w:t>
      </w:r>
      <w:r w:rsidR="00502265" w:rsidRPr="000004E8">
        <w:rPr>
          <w:rFonts w:cstheme="minorHAnsi"/>
        </w:rPr>
        <w:t>.</w:t>
      </w:r>
      <w:r w:rsidRPr="000004E8">
        <w:rPr>
          <w:rFonts w:cstheme="minorHAnsi"/>
        </w:rPr>
        <w:t>Η</w:t>
      </w:r>
      <w:r w:rsidR="00502265" w:rsidRPr="000004E8">
        <w:rPr>
          <w:rFonts w:cstheme="minorHAnsi"/>
        </w:rPr>
        <w:t>. Α.Ε.</w:t>
      </w:r>
      <w:bookmarkEnd w:id="1"/>
      <w:r w:rsidRPr="000004E8">
        <w:rPr>
          <w:rFonts w:cstheme="minorHAnsi"/>
        </w:rPr>
        <w:t xml:space="preserve"> η υλοποίηση των νέων χρήσεων</w:t>
      </w:r>
      <w:r w:rsidR="003E18A7" w:rsidRPr="000004E8">
        <w:rPr>
          <w:rFonts w:cstheme="minorHAnsi"/>
        </w:rPr>
        <w:t xml:space="preserve"> </w:t>
      </w:r>
      <w:r w:rsidRPr="000004E8">
        <w:rPr>
          <w:rFonts w:cstheme="minorHAnsi"/>
        </w:rPr>
        <w:t>γης και η αναβάθμιση εκτάσεων, που είχαν περιέλθει στην κυριότητα ή τη χρήση της Δ</w:t>
      </w:r>
      <w:r w:rsidR="00B5453F" w:rsidRPr="000004E8">
        <w:rPr>
          <w:rFonts w:cstheme="minorHAnsi"/>
        </w:rPr>
        <w:t>.</w:t>
      </w:r>
      <w:r w:rsidRPr="000004E8">
        <w:rPr>
          <w:rFonts w:cstheme="minorHAnsi"/>
        </w:rPr>
        <w:t>Ε</w:t>
      </w:r>
      <w:r w:rsidR="00B5453F" w:rsidRPr="000004E8">
        <w:rPr>
          <w:rFonts w:cstheme="minorHAnsi"/>
        </w:rPr>
        <w:t>.</w:t>
      </w:r>
      <w:r w:rsidRPr="000004E8">
        <w:rPr>
          <w:rFonts w:cstheme="minorHAnsi"/>
        </w:rPr>
        <w:t>Η</w:t>
      </w:r>
      <w:r w:rsidR="00B5453F" w:rsidRPr="000004E8">
        <w:rPr>
          <w:rFonts w:cstheme="minorHAnsi"/>
        </w:rPr>
        <w:t>.</w:t>
      </w:r>
      <w:r w:rsidRPr="000004E8">
        <w:rPr>
          <w:rFonts w:cstheme="minorHAnsi"/>
        </w:rPr>
        <w:t xml:space="preserve"> Α.Ε. για την παραγωγή ηλεκτρικής ενέργειας από λιγνίτη και περιλαμβάνονται στις Ζ.ΑΠ. του παρόντος.</w:t>
      </w:r>
    </w:p>
    <w:p w14:paraId="0FDB70D2" w14:textId="383E6D93" w:rsidR="00B102DE" w:rsidRPr="000004E8" w:rsidRDefault="00B102DE" w:rsidP="00F357BF">
      <w:pPr>
        <w:spacing w:after="60" w:line="300" w:lineRule="auto"/>
        <w:jc w:val="both"/>
        <w:rPr>
          <w:rFonts w:cstheme="minorHAnsi"/>
        </w:rPr>
      </w:pPr>
      <w:r w:rsidRPr="000004E8">
        <w:rPr>
          <w:rFonts w:cstheme="minorHAnsi"/>
        </w:rPr>
        <w:lastRenderedPageBreak/>
        <w:t xml:space="preserve">Με την προγραμματική σύμβαση προβλέπονται οι όροι και οι προϋποθέσεις για την αναβάθμιση των εκτάσεων από τη </w:t>
      </w:r>
      <w:r w:rsidR="00B5453F" w:rsidRPr="000004E8">
        <w:rPr>
          <w:rFonts w:cstheme="minorHAnsi"/>
        </w:rPr>
        <w:t>Δ.Ε.Η. Α.Ε.</w:t>
      </w:r>
      <w:r w:rsidR="00105AE8" w:rsidRPr="000004E8">
        <w:rPr>
          <w:rFonts w:cstheme="minorHAnsi"/>
        </w:rPr>
        <w:t xml:space="preserve"> </w:t>
      </w:r>
      <w:r w:rsidRPr="000004E8">
        <w:rPr>
          <w:rFonts w:cstheme="minorHAnsi"/>
        </w:rPr>
        <w:t>κατά τα ανωτέρω, οι υποχρεώσεις, η παρακολούθηση της εκτέλεσης της σύμβασης, ο τρόπος κάλυψης των δαπανών των δράσεων και τα σχετικά χρηματοδοτικά εργαλεία,</w:t>
      </w:r>
      <w:r w:rsidR="00802FE1" w:rsidRPr="000004E8">
        <w:rPr>
          <w:rFonts w:cstheme="minorHAnsi"/>
        </w:rPr>
        <w:t xml:space="preserve"> ο τρόπος υπολογισμού των διαχειριστικών δαπανών της Δ.Ε.</w:t>
      </w:r>
      <w:r w:rsidR="008B3158">
        <w:rPr>
          <w:rFonts w:cstheme="minorHAnsi"/>
        </w:rPr>
        <w:t>Η</w:t>
      </w:r>
      <w:r w:rsidR="00802FE1" w:rsidRPr="000004E8">
        <w:rPr>
          <w:rFonts w:cstheme="minorHAnsi"/>
        </w:rPr>
        <w:t>. Α.Ε.</w:t>
      </w:r>
      <w:r w:rsidR="00254F54" w:rsidRPr="000004E8">
        <w:rPr>
          <w:rFonts w:cstheme="minorHAnsi"/>
        </w:rPr>
        <w:t xml:space="preserve"> και κάλυψής τους,</w:t>
      </w:r>
      <w:r w:rsidRPr="000004E8">
        <w:rPr>
          <w:rFonts w:cstheme="minorHAnsi"/>
        </w:rPr>
        <w:t xml:space="preserve"> καθώς και ο τρόπος μεταβίβασης στο Δημόσιο της κυριότητας των υποκείμενων εκτάσεων που είναι στην κυριότητα της </w:t>
      </w:r>
      <w:r w:rsidR="00355B25" w:rsidRPr="000004E8">
        <w:rPr>
          <w:rFonts w:cstheme="minorHAnsi"/>
        </w:rPr>
        <w:t>Δ.Ε.Η. Α.Ε.</w:t>
      </w:r>
      <w:r w:rsidRPr="000004E8">
        <w:rPr>
          <w:rFonts w:cstheme="minorHAnsi"/>
        </w:rPr>
        <w:t xml:space="preserve">, όπως και κάθε άλλου δικαιώματος ή υποχρέωσης που τις αφορά και ο τρόπος παραχώρησης στη </w:t>
      </w:r>
      <w:r w:rsidR="00355B25" w:rsidRPr="000004E8">
        <w:rPr>
          <w:rFonts w:cstheme="minorHAnsi"/>
        </w:rPr>
        <w:t>Δ.Ε.Η. Α.Ε.</w:t>
      </w:r>
      <w:r w:rsidR="008B3158">
        <w:rPr>
          <w:rFonts w:cstheme="minorHAnsi"/>
        </w:rPr>
        <w:t xml:space="preserve"> </w:t>
      </w:r>
      <w:r w:rsidRPr="000004E8">
        <w:rPr>
          <w:rFonts w:cstheme="minorHAnsi"/>
        </w:rPr>
        <w:t xml:space="preserve">των εκτάσεων, των οποίων η αναγκαστική απαλλοτρίωση κηρύχθηκε και συντελέσθηκε βάσει του άρθρου 15 </w:t>
      </w:r>
      <w:r w:rsidR="008B3158">
        <w:rPr>
          <w:rFonts w:cstheme="minorHAnsi"/>
        </w:rPr>
        <w:t xml:space="preserve">του </w:t>
      </w:r>
      <w:r w:rsidRPr="000004E8">
        <w:rPr>
          <w:rFonts w:cstheme="minorHAnsi"/>
        </w:rPr>
        <w:t>ν. 4273/2014 (Α’ 146) με δαπάνες της Δ</w:t>
      </w:r>
      <w:r w:rsidR="00355B25" w:rsidRPr="000004E8">
        <w:rPr>
          <w:rFonts w:cstheme="minorHAnsi"/>
        </w:rPr>
        <w:t>.</w:t>
      </w:r>
      <w:r w:rsidRPr="000004E8">
        <w:rPr>
          <w:rFonts w:cstheme="minorHAnsi"/>
        </w:rPr>
        <w:t>Ε</w:t>
      </w:r>
      <w:r w:rsidR="00355B25" w:rsidRPr="000004E8">
        <w:rPr>
          <w:rFonts w:cstheme="minorHAnsi"/>
        </w:rPr>
        <w:t>.</w:t>
      </w:r>
      <w:r w:rsidRPr="000004E8">
        <w:rPr>
          <w:rFonts w:cstheme="minorHAnsi"/>
        </w:rPr>
        <w:t>Η</w:t>
      </w:r>
      <w:r w:rsidR="00355B25" w:rsidRPr="000004E8">
        <w:rPr>
          <w:rFonts w:cstheme="minorHAnsi"/>
        </w:rPr>
        <w:t>.</w:t>
      </w:r>
      <w:r w:rsidRPr="000004E8">
        <w:rPr>
          <w:rFonts w:cstheme="minorHAnsi"/>
        </w:rPr>
        <w:t xml:space="preserve"> Α.Ε. για την εξόρυξη λιγνίτη και οι οποίες θα διατεθούν για την παραγωγή ηλεκτρικής ενέργειας από ανανεώσιμες πηγές</w:t>
      </w:r>
      <w:r w:rsidR="00254F54" w:rsidRPr="000004E8">
        <w:rPr>
          <w:rFonts w:cstheme="minorHAnsi"/>
        </w:rPr>
        <w:t>, και κάθε άλλο ζήτημα για την εξυπηρέτηση του σκοπού της σύμβασης</w:t>
      </w:r>
      <w:r w:rsidRPr="000004E8">
        <w:rPr>
          <w:rFonts w:cstheme="minorHAnsi"/>
        </w:rPr>
        <w:t xml:space="preserve">. </w:t>
      </w:r>
    </w:p>
    <w:p w14:paraId="60F3B333" w14:textId="77777777" w:rsidR="005C2495" w:rsidRDefault="005C2495" w:rsidP="00F357BF">
      <w:pPr>
        <w:spacing w:after="120" w:line="300" w:lineRule="auto"/>
        <w:jc w:val="center"/>
        <w:rPr>
          <w:rFonts w:cstheme="minorHAnsi"/>
        </w:rPr>
      </w:pPr>
    </w:p>
    <w:p w14:paraId="358C1C25" w14:textId="77777777" w:rsidR="008B482E" w:rsidRPr="000004E8" w:rsidRDefault="008B482E" w:rsidP="00F357BF">
      <w:pPr>
        <w:spacing w:after="120" w:line="300" w:lineRule="auto"/>
        <w:jc w:val="center"/>
        <w:rPr>
          <w:rFonts w:cstheme="minorHAnsi"/>
          <w:b/>
        </w:rPr>
      </w:pPr>
      <w:r w:rsidRPr="000004E8">
        <w:rPr>
          <w:rFonts w:cstheme="minorHAnsi"/>
          <w:b/>
        </w:rPr>
        <w:t>Άρθρο 2</w:t>
      </w:r>
    </w:p>
    <w:p w14:paraId="5B207901" w14:textId="230D6467" w:rsidR="008B482E" w:rsidRPr="000004E8" w:rsidRDefault="008B482E" w:rsidP="00F357BF">
      <w:pPr>
        <w:spacing w:after="120" w:line="300" w:lineRule="auto"/>
        <w:jc w:val="center"/>
        <w:rPr>
          <w:rFonts w:cstheme="minorHAnsi"/>
        </w:rPr>
      </w:pPr>
      <w:r w:rsidRPr="000004E8">
        <w:rPr>
          <w:rFonts w:cstheme="minorHAnsi"/>
          <w:b/>
        </w:rPr>
        <w:t>Υλοποίηση έργων Α</w:t>
      </w:r>
      <w:r w:rsidR="00F91621" w:rsidRPr="000004E8">
        <w:rPr>
          <w:rFonts w:cstheme="minorHAnsi"/>
          <w:b/>
        </w:rPr>
        <w:t>.</w:t>
      </w:r>
      <w:r w:rsidRPr="000004E8">
        <w:rPr>
          <w:rFonts w:cstheme="minorHAnsi"/>
          <w:b/>
        </w:rPr>
        <w:t>Π</w:t>
      </w:r>
      <w:r w:rsidR="00F91621" w:rsidRPr="000004E8">
        <w:rPr>
          <w:rFonts w:cstheme="minorHAnsi"/>
          <w:b/>
        </w:rPr>
        <w:t>.</w:t>
      </w:r>
      <w:r w:rsidRPr="000004E8">
        <w:rPr>
          <w:rFonts w:cstheme="minorHAnsi"/>
          <w:b/>
        </w:rPr>
        <w:t>Ε</w:t>
      </w:r>
      <w:r w:rsidR="00F91621" w:rsidRPr="000004E8">
        <w:rPr>
          <w:rFonts w:cstheme="minorHAnsi"/>
          <w:b/>
        </w:rPr>
        <w:t>.</w:t>
      </w:r>
      <w:r w:rsidRPr="000004E8">
        <w:rPr>
          <w:rFonts w:cstheme="minorHAnsi"/>
          <w:b/>
        </w:rPr>
        <w:t xml:space="preserve"> και Σ</w:t>
      </w:r>
      <w:r w:rsidR="00F91621" w:rsidRPr="000004E8">
        <w:rPr>
          <w:rFonts w:cstheme="minorHAnsi"/>
          <w:b/>
        </w:rPr>
        <w:t>.</w:t>
      </w:r>
      <w:r w:rsidRPr="000004E8">
        <w:rPr>
          <w:rFonts w:cstheme="minorHAnsi"/>
          <w:b/>
        </w:rPr>
        <w:t>Η</w:t>
      </w:r>
      <w:r w:rsidR="00F91621" w:rsidRPr="000004E8">
        <w:rPr>
          <w:rFonts w:cstheme="minorHAnsi"/>
          <w:b/>
        </w:rPr>
        <w:t>.</w:t>
      </w:r>
      <w:r w:rsidRPr="000004E8">
        <w:rPr>
          <w:rFonts w:cstheme="minorHAnsi"/>
          <w:b/>
        </w:rPr>
        <w:t>Θ</w:t>
      </w:r>
      <w:r w:rsidR="00F91621" w:rsidRPr="000004E8">
        <w:rPr>
          <w:rFonts w:cstheme="minorHAnsi"/>
          <w:b/>
        </w:rPr>
        <w:t>.</w:t>
      </w:r>
      <w:r w:rsidRPr="000004E8">
        <w:rPr>
          <w:rFonts w:cstheme="minorHAnsi"/>
          <w:b/>
        </w:rPr>
        <w:t>Υ</w:t>
      </w:r>
      <w:r w:rsidR="00F91621" w:rsidRPr="000004E8">
        <w:rPr>
          <w:rFonts w:cstheme="minorHAnsi"/>
          <w:b/>
        </w:rPr>
        <w:t>.</w:t>
      </w:r>
      <w:r w:rsidRPr="000004E8">
        <w:rPr>
          <w:rFonts w:cstheme="minorHAnsi"/>
          <w:b/>
        </w:rPr>
        <w:t>Α</w:t>
      </w:r>
      <w:r w:rsidR="00F91621" w:rsidRPr="000004E8">
        <w:rPr>
          <w:rFonts w:cstheme="minorHAnsi"/>
          <w:b/>
        </w:rPr>
        <w:t>.</w:t>
      </w:r>
      <w:r w:rsidRPr="000004E8">
        <w:rPr>
          <w:rFonts w:cstheme="minorHAnsi"/>
          <w:b/>
        </w:rPr>
        <w:t xml:space="preserve"> σε Ζώνες Απολιγνιτοποίησης (Ζ.ΑΠ.) </w:t>
      </w:r>
    </w:p>
    <w:p w14:paraId="07CEF2BC" w14:textId="2E029995" w:rsidR="008B482E" w:rsidRPr="000004E8" w:rsidRDefault="008B482E" w:rsidP="00F357BF">
      <w:pPr>
        <w:pStyle w:val="Web"/>
        <w:spacing w:before="0" w:beforeAutospacing="0" w:after="60" w:afterAutospacing="0" w:line="300" w:lineRule="auto"/>
        <w:jc w:val="both"/>
        <w:rPr>
          <w:rFonts w:asciiTheme="minorHAnsi" w:hAnsiTheme="minorHAnsi" w:cstheme="minorHAnsi"/>
          <w:sz w:val="22"/>
          <w:szCs w:val="22"/>
        </w:rPr>
      </w:pPr>
      <w:r w:rsidRPr="000004E8">
        <w:rPr>
          <w:rFonts w:asciiTheme="minorHAnsi" w:hAnsiTheme="minorHAnsi" w:cstheme="minorHAnsi"/>
          <w:sz w:val="22"/>
          <w:szCs w:val="22"/>
        </w:rPr>
        <w:t xml:space="preserve">1. Άδειες ή εγκρίσεις που προβλέπονται κατά την αδειοδότηση έργων </w:t>
      </w:r>
      <w:r w:rsidR="00384750" w:rsidRPr="000004E8">
        <w:rPr>
          <w:rFonts w:asciiTheme="minorHAnsi" w:hAnsiTheme="minorHAnsi" w:cstheme="minorHAnsi"/>
          <w:sz w:val="22"/>
          <w:szCs w:val="22"/>
        </w:rPr>
        <w:t>Ανανεώσιμων Πηγών Ενέργειας (</w:t>
      </w:r>
      <w:r w:rsidRPr="000004E8">
        <w:rPr>
          <w:rFonts w:asciiTheme="minorHAnsi" w:hAnsiTheme="minorHAnsi" w:cstheme="minorHAnsi"/>
          <w:sz w:val="22"/>
          <w:szCs w:val="22"/>
        </w:rPr>
        <w:t>Α</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Π</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Ε</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 xml:space="preserve"> και </w:t>
      </w:r>
      <w:r w:rsidR="00384750" w:rsidRPr="000004E8">
        <w:rPr>
          <w:rFonts w:asciiTheme="minorHAnsi" w:hAnsiTheme="minorHAnsi" w:cstheme="minorHAnsi"/>
          <w:sz w:val="22"/>
          <w:szCs w:val="22"/>
        </w:rPr>
        <w:t>Συμπαραγωγής Ηλεκτρισμού – Θερμότητας Υψηλής Απόδοσης (</w:t>
      </w:r>
      <w:r w:rsidRPr="000004E8">
        <w:rPr>
          <w:rFonts w:asciiTheme="minorHAnsi" w:hAnsiTheme="minorHAnsi" w:cstheme="minorHAnsi"/>
          <w:sz w:val="22"/>
          <w:szCs w:val="22"/>
        </w:rPr>
        <w:t>Σ</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Η</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Θ</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Υ</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Α</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 xml:space="preserve"> που εγκαθίστανται εντός των Πυρήνων των Ζ.ΑΠ., όπως η έγκριση περιβαλλοντικών όρων και οι άδειες εγκατάστασης και λειτουργίας, διεκπεραιώνονται κατ΄</w:t>
      </w:r>
      <w:r w:rsidR="00384750" w:rsidRPr="000004E8">
        <w:rPr>
          <w:rFonts w:asciiTheme="minorHAnsi" w:hAnsiTheme="minorHAnsi" w:cstheme="minorHAnsi"/>
          <w:sz w:val="22"/>
          <w:szCs w:val="22"/>
        </w:rPr>
        <w:t xml:space="preserve"> </w:t>
      </w:r>
      <w:r w:rsidRPr="000004E8">
        <w:rPr>
          <w:rFonts w:asciiTheme="minorHAnsi" w:hAnsiTheme="minorHAnsi" w:cstheme="minorHAnsi"/>
          <w:sz w:val="22"/>
          <w:szCs w:val="22"/>
        </w:rPr>
        <w:t>απόλυτη προτεραιότητα από τις αρχές</w:t>
      </w:r>
      <w:r w:rsidR="00384750" w:rsidRPr="000004E8">
        <w:rPr>
          <w:rFonts w:asciiTheme="minorHAnsi" w:hAnsiTheme="minorHAnsi" w:cstheme="minorHAnsi"/>
          <w:sz w:val="22"/>
          <w:szCs w:val="22"/>
        </w:rPr>
        <w:t xml:space="preserve"> που αδειοδοτούν</w:t>
      </w:r>
      <w:r w:rsidRPr="000004E8">
        <w:rPr>
          <w:rFonts w:asciiTheme="minorHAnsi" w:hAnsiTheme="minorHAnsi" w:cstheme="minorHAnsi"/>
          <w:sz w:val="22"/>
          <w:szCs w:val="22"/>
        </w:rPr>
        <w:t>, καθώς και όλες τις υπηρεσίες και φορείς</w:t>
      </w:r>
      <w:r w:rsidR="000B4F26" w:rsidRPr="000004E8">
        <w:rPr>
          <w:rFonts w:asciiTheme="minorHAnsi" w:hAnsiTheme="minorHAnsi" w:cstheme="minorHAnsi"/>
          <w:sz w:val="22"/>
          <w:szCs w:val="22"/>
        </w:rPr>
        <w:t xml:space="preserve"> που γνωμοδοτούν κατά την αδειοδότηση</w:t>
      </w:r>
      <w:r w:rsidRPr="000004E8">
        <w:rPr>
          <w:rFonts w:asciiTheme="minorHAnsi" w:hAnsiTheme="minorHAnsi" w:cstheme="minorHAnsi"/>
          <w:sz w:val="22"/>
          <w:szCs w:val="22"/>
        </w:rPr>
        <w:t>. Ειδικά τα αιτήματα για βεβαίωση παραγωγού ηλεκτρικής ενέργειας από Α</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Π</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Ε</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 xml:space="preserve"> και Σ</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Η</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Θ</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Υ</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Α</w:t>
      </w:r>
      <w:r w:rsidR="00384750" w:rsidRPr="000004E8">
        <w:rPr>
          <w:rFonts w:asciiTheme="minorHAnsi" w:hAnsiTheme="minorHAnsi" w:cstheme="minorHAnsi"/>
          <w:sz w:val="22"/>
          <w:szCs w:val="22"/>
        </w:rPr>
        <w:t>.</w:t>
      </w:r>
      <w:r w:rsidRPr="000004E8">
        <w:rPr>
          <w:rFonts w:asciiTheme="minorHAnsi" w:hAnsiTheme="minorHAnsi" w:cstheme="minorHAnsi"/>
          <w:sz w:val="22"/>
          <w:szCs w:val="22"/>
        </w:rPr>
        <w:t xml:space="preserve"> εξετάζονται κατά προτεραιότητα έναντι άλλων αιτημάτων εντός του ίδιου κύκλου υποβολής αιτήσεων.</w:t>
      </w:r>
      <w:r w:rsidR="003E18A7" w:rsidRPr="000004E8">
        <w:rPr>
          <w:rFonts w:asciiTheme="minorHAnsi" w:hAnsiTheme="minorHAnsi" w:cstheme="minorHAnsi"/>
          <w:sz w:val="22"/>
          <w:szCs w:val="22"/>
        </w:rPr>
        <w:t xml:space="preserve"> </w:t>
      </w:r>
    </w:p>
    <w:p w14:paraId="2942C1D5" w14:textId="22129F4E" w:rsidR="008B482E" w:rsidRPr="000004E8" w:rsidRDefault="008B482E" w:rsidP="00F357BF">
      <w:pPr>
        <w:spacing w:after="60" w:line="300" w:lineRule="auto"/>
        <w:jc w:val="both"/>
        <w:rPr>
          <w:rFonts w:cstheme="minorHAnsi"/>
        </w:rPr>
      </w:pPr>
      <w:r w:rsidRPr="000004E8">
        <w:rPr>
          <w:rFonts w:cstheme="minorHAnsi"/>
          <w:iCs/>
        </w:rPr>
        <w:t>2. Για τα έργα Α</w:t>
      </w:r>
      <w:r w:rsidR="00384750" w:rsidRPr="000004E8">
        <w:rPr>
          <w:rFonts w:cstheme="minorHAnsi"/>
          <w:iCs/>
        </w:rPr>
        <w:t>.</w:t>
      </w:r>
      <w:r w:rsidRPr="000004E8">
        <w:rPr>
          <w:rFonts w:cstheme="minorHAnsi"/>
          <w:iCs/>
        </w:rPr>
        <w:t>Π</w:t>
      </w:r>
      <w:r w:rsidR="00384750" w:rsidRPr="000004E8">
        <w:rPr>
          <w:rFonts w:cstheme="minorHAnsi"/>
          <w:iCs/>
        </w:rPr>
        <w:t>.</w:t>
      </w:r>
      <w:r w:rsidRPr="000004E8">
        <w:rPr>
          <w:rFonts w:cstheme="minorHAnsi"/>
          <w:iCs/>
        </w:rPr>
        <w:t>Ε</w:t>
      </w:r>
      <w:r w:rsidR="00384750" w:rsidRPr="000004E8">
        <w:rPr>
          <w:rFonts w:cstheme="minorHAnsi"/>
          <w:iCs/>
        </w:rPr>
        <w:t>.</w:t>
      </w:r>
      <w:r w:rsidRPr="000004E8">
        <w:rPr>
          <w:rFonts w:cstheme="minorHAnsi"/>
          <w:iCs/>
        </w:rPr>
        <w:t xml:space="preserve"> και Σ</w:t>
      </w:r>
      <w:r w:rsidR="00384750" w:rsidRPr="000004E8">
        <w:rPr>
          <w:rFonts w:cstheme="minorHAnsi"/>
          <w:iCs/>
        </w:rPr>
        <w:t>.</w:t>
      </w:r>
      <w:r w:rsidRPr="000004E8">
        <w:rPr>
          <w:rFonts w:cstheme="minorHAnsi"/>
          <w:iCs/>
        </w:rPr>
        <w:t>Η</w:t>
      </w:r>
      <w:r w:rsidR="00384750" w:rsidRPr="000004E8">
        <w:rPr>
          <w:rFonts w:cstheme="minorHAnsi"/>
          <w:iCs/>
        </w:rPr>
        <w:t>.</w:t>
      </w:r>
      <w:r w:rsidRPr="000004E8">
        <w:rPr>
          <w:rFonts w:cstheme="minorHAnsi"/>
          <w:iCs/>
        </w:rPr>
        <w:t>Θ</w:t>
      </w:r>
      <w:r w:rsidR="00384750" w:rsidRPr="000004E8">
        <w:rPr>
          <w:rFonts w:cstheme="minorHAnsi"/>
          <w:iCs/>
        </w:rPr>
        <w:t>.</w:t>
      </w:r>
      <w:r w:rsidRPr="000004E8">
        <w:rPr>
          <w:rFonts w:cstheme="minorHAnsi"/>
          <w:iCs/>
        </w:rPr>
        <w:t>Υ</w:t>
      </w:r>
      <w:r w:rsidR="00384750" w:rsidRPr="000004E8">
        <w:rPr>
          <w:rFonts w:cstheme="minorHAnsi"/>
          <w:iCs/>
        </w:rPr>
        <w:t>.</w:t>
      </w:r>
      <w:r w:rsidRPr="000004E8">
        <w:rPr>
          <w:rFonts w:cstheme="minorHAnsi"/>
          <w:iCs/>
        </w:rPr>
        <w:t>Α</w:t>
      </w:r>
      <w:r w:rsidR="00384750" w:rsidRPr="000004E8">
        <w:rPr>
          <w:rFonts w:cstheme="minorHAnsi"/>
          <w:iCs/>
        </w:rPr>
        <w:t>.</w:t>
      </w:r>
      <w:r w:rsidRPr="000004E8">
        <w:rPr>
          <w:rFonts w:cstheme="minorHAnsi"/>
          <w:iCs/>
        </w:rPr>
        <w:t xml:space="preserve"> που εγκαθίστανται εντός των Πυρήνων των </w:t>
      </w:r>
      <w:r w:rsidR="00105AE8" w:rsidRPr="000004E8">
        <w:rPr>
          <w:rFonts w:cstheme="minorHAnsi"/>
        </w:rPr>
        <w:t>Ζωνών Απολιγνιτοποίησης (</w:t>
      </w:r>
      <w:r w:rsidRPr="000004E8">
        <w:rPr>
          <w:rFonts w:cstheme="minorHAnsi"/>
          <w:iCs/>
        </w:rPr>
        <w:t>Ζ</w:t>
      </w:r>
      <w:r w:rsidR="00384750" w:rsidRPr="000004E8">
        <w:rPr>
          <w:rFonts w:cstheme="minorHAnsi"/>
          <w:iCs/>
        </w:rPr>
        <w:t>.</w:t>
      </w:r>
      <w:r w:rsidRPr="000004E8">
        <w:rPr>
          <w:rFonts w:cstheme="minorHAnsi"/>
          <w:iCs/>
        </w:rPr>
        <w:t>ΑΠ</w:t>
      </w:r>
      <w:r w:rsidR="00384750" w:rsidRPr="000004E8">
        <w:rPr>
          <w:rFonts w:cstheme="minorHAnsi"/>
          <w:iCs/>
        </w:rPr>
        <w:t>.</w:t>
      </w:r>
      <w:r w:rsidR="00105AE8" w:rsidRPr="000004E8">
        <w:rPr>
          <w:rFonts w:cstheme="minorHAnsi"/>
          <w:iCs/>
        </w:rPr>
        <w:t>)</w:t>
      </w:r>
      <w:r w:rsidRPr="000004E8">
        <w:rPr>
          <w:rFonts w:cstheme="minorHAnsi"/>
          <w:iCs/>
        </w:rPr>
        <w:t xml:space="preserve">, η προθεσμία της υποπερ. αα) της περ. α) της παρ. 2 του άρθρου 12 του ν. 4685/2020 (Α΄ 92) αναστέλλεται </w:t>
      </w:r>
      <w:r w:rsidRPr="000004E8">
        <w:rPr>
          <w:rFonts w:cstheme="minorHAnsi"/>
        </w:rPr>
        <w:t xml:space="preserve">μέχρι τη </w:t>
      </w:r>
      <w:r w:rsidR="00384750" w:rsidRPr="000004E8">
        <w:rPr>
          <w:rFonts w:cstheme="minorHAnsi"/>
        </w:rPr>
        <w:t xml:space="preserve">έναρξη ισχύος </w:t>
      </w:r>
      <w:r w:rsidRPr="000004E8">
        <w:rPr>
          <w:rFonts w:cstheme="minorHAnsi"/>
        </w:rPr>
        <w:t xml:space="preserve">του </w:t>
      </w:r>
      <w:r w:rsidR="00384750" w:rsidRPr="000004E8">
        <w:rPr>
          <w:rFonts w:cstheme="minorHAnsi"/>
        </w:rPr>
        <w:t>π</w:t>
      </w:r>
      <w:r w:rsidRPr="000004E8">
        <w:rPr>
          <w:rFonts w:cstheme="minorHAnsi"/>
        </w:rPr>
        <w:t xml:space="preserve">ροεδρικού </w:t>
      </w:r>
      <w:r w:rsidR="00384750" w:rsidRPr="000004E8">
        <w:rPr>
          <w:rFonts w:cstheme="minorHAnsi"/>
        </w:rPr>
        <w:t>δ</w:t>
      </w:r>
      <w:r w:rsidRPr="000004E8">
        <w:rPr>
          <w:rFonts w:cstheme="minorHAnsi"/>
        </w:rPr>
        <w:t xml:space="preserve">ιατάγματος </w:t>
      </w:r>
      <w:r w:rsidR="00384750" w:rsidRPr="000004E8">
        <w:rPr>
          <w:rFonts w:cstheme="minorHAnsi"/>
        </w:rPr>
        <w:t xml:space="preserve">για την </w:t>
      </w:r>
      <w:r w:rsidRPr="000004E8">
        <w:rPr>
          <w:rFonts w:cstheme="minorHAnsi"/>
        </w:rPr>
        <w:t xml:space="preserve">έγκριση του </w:t>
      </w:r>
      <w:r w:rsidR="00105AE8" w:rsidRPr="000004E8">
        <w:rPr>
          <w:rFonts w:eastAsia="Calibri" w:cstheme="minorHAnsi"/>
        </w:rPr>
        <w:t xml:space="preserve">Ειδικού Πολεοδομικού Σχεδίου (Ε.Π.Σ.) </w:t>
      </w:r>
      <w:r w:rsidRPr="000004E8">
        <w:rPr>
          <w:rFonts w:cstheme="minorHAnsi"/>
        </w:rPr>
        <w:t xml:space="preserve">της Ζ.ΑΠ. Η αναστολή του προηγούμενου εδαφίου δεν κωλύει την υποβολή και έγκριση φακέλου </w:t>
      </w:r>
      <w:r w:rsidR="00105AE8" w:rsidRPr="000004E8">
        <w:rPr>
          <w:rFonts w:cstheme="minorHAnsi"/>
        </w:rPr>
        <w:t>Μ</w:t>
      </w:r>
      <w:r w:rsidRPr="000004E8">
        <w:rPr>
          <w:rFonts w:cstheme="minorHAnsi"/>
        </w:rPr>
        <w:t xml:space="preserve">ελέτης </w:t>
      </w:r>
      <w:r w:rsidR="00105AE8" w:rsidRPr="000004E8">
        <w:rPr>
          <w:rFonts w:cstheme="minorHAnsi"/>
        </w:rPr>
        <w:t>Π</w:t>
      </w:r>
      <w:r w:rsidRPr="000004E8">
        <w:rPr>
          <w:rFonts w:cstheme="minorHAnsi"/>
        </w:rPr>
        <w:t xml:space="preserve">εριβαλλοντικών </w:t>
      </w:r>
      <w:r w:rsidR="00105AE8" w:rsidRPr="000004E8">
        <w:rPr>
          <w:rFonts w:cstheme="minorHAnsi"/>
        </w:rPr>
        <w:t>Ε</w:t>
      </w:r>
      <w:r w:rsidRPr="000004E8">
        <w:rPr>
          <w:rFonts w:cstheme="minorHAnsi"/>
        </w:rPr>
        <w:t>πιπτώσεων (Μ</w:t>
      </w:r>
      <w:r w:rsidR="00384750" w:rsidRPr="000004E8">
        <w:rPr>
          <w:rFonts w:cstheme="minorHAnsi"/>
        </w:rPr>
        <w:t>.</w:t>
      </w:r>
      <w:r w:rsidRPr="000004E8">
        <w:rPr>
          <w:rFonts w:cstheme="minorHAnsi"/>
        </w:rPr>
        <w:t>Π</w:t>
      </w:r>
      <w:r w:rsidR="00384750" w:rsidRPr="000004E8">
        <w:rPr>
          <w:rFonts w:cstheme="minorHAnsi"/>
        </w:rPr>
        <w:t>.</w:t>
      </w:r>
      <w:r w:rsidRPr="000004E8">
        <w:rPr>
          <w:rFonts w:cstheme="minorHAnsi"/>
        </w:rPr>
        <w:t>Ε</w:t>
      </w:r>
      <w:r w:rsidR="00384750" w:rsidRPr="000004E8">
        <w:rPr>
          <w:rFonts w:cstheme="minorHAnsi"/>
        </w:rPr>
        <w:t>.</w:t>
      </w:r>
      <w:r w:rsidRPr="000004E8">
        <w:rPr>
          <w:rFonts w:cstheme="minorHAnsi"/>
        </w:rPr>
        <w:t>)</w:t>
      </w:r>
      <w:r w:rsidR="00F45C7C" w:rsidRPr="000004E8">
        <w:rPr>
          <w:rFonts w:cstheme="minorHAnsi"/>
        </w:rPr>
        <w:t xml:space="preserve"> ή φακέλου για την υπαγωγή σε πρότυπες περιβαλλοντικές δεσμεύσεις,</w:t>
      </w:r>
      <w:r w:rsidRPr="000004E8">
        <w:rPr>
          <w:rFonts w:cstheme="minorHAnsi"/>
        </w:rPr>
        <w:t xml:space="preserve"> για την έκδοση απόφασης έγκρισης περιβαλλοντικών όρων</w:t>
      </w:r>
      <w:r w:rsidR="001E5DF1" w:rsidRPr="000004E8">
        <w:rPr>
          <w:rFonts w:cstheme="minorHAnsi"/>
        </w:rPr>
        <w:t xml:space="preserve"> </w:t>
      </w:r>
      <w:r w:rsidR="00F45C7C" w:rsidRPr="000004E8">
        <w:rPr>
          <w:rFonts w:cstheme="minorHAnsi"/>
        </w:rPr>
        <w:t xml:space="preserve">ή υπαγωγής σε πρότυπες περιβαλλοντικές δεσμεύσεις, αντίστοιχα, </w:t>
      </w:r>
      <w:r w:rsidR="001E5DF1" w:rsidRPr="000004E8">
        <w:rPr>
          <w:rFonts w:cstheme="minorHAnsi"/>
        </w:rPr>
        <w:t xml:space="preserve">από την </w:t>
      </w:r>
      <w:r w:rsidR="00F55FB5" w:rsidRPr="000004E8">
        <w:rPr>
          <w:rFonts w:cstheme="minorHAnsi"/>
        </w:rPr>
        <w:t>αρμόδια</w:t>
      </w:r>
      <w:r w:rsidR="001E5DF1" w:rsidRPr="000004E8">
        <w:rPr>
          <w:rFonts w:cstheme="minorHAnsi"/>
        </w:rPr>
        <w:t xml:space="preserve"> αρχή </w:t>
      </w:r>
      <w:r w:rsidR="00F55FB5" w:rsidRPr="000004E8">
        <w:rPr>
          <w:rFonts w:cstheme="minorHAnsi"/>
        </w:rPr>
        <w:t>του ν. 4014/2011 (Α΄ 209).</w:t>
      </w:r>
    </w:p>
    <w:p w14:paraId="0112D050" w14:textId="5205B217" w:rsidR="008B482E" w:rsidRPr="000004E8" w:rsidRDefault="008B482E" w:rsidP="00F357BF">
      <w:pPr>
        <w:spacing w:after="60" w:line="300" w:lineRule="auto"/>
        <w:jc w:val="both"/>
        <w:rPr>
          <w:rFonts w:eastAsia="Calibri" w:cstheme="minorHAnsi"/>
        </w:rPr>
      </w:pPr>
      <w:r w:rsidRPr="000004E8">
        <w:rPr>
          <w:rFonts w:cstheme="minorHAnsi"/>
        </w:rPr>
        <w:t xml:space="preserve">3. </w:t>
      </w:r>
      <w:r w:rsidR="00384750" w:rsidRPr="000004E8">
        <w:rPr>
          <w:rFonts w:cstheme="minorHAnsi"/>
        </w:rPr>
        <w:t>Γ</w:t>
      </w:r>
      <w:r w:rsidRPr="000004E8">
        <w:rPr>
          <w:rFonts w:cstheme="minorHAnsi"/>
        </w:rPr>
        <w:t>ια τα έργα αυτά και ε</w:t>
      </w:r>
      <w:r w:rsidRPr="000004E8">
        <w:rPr>
          <w:rFonts w:eastAsia="Calibri" w:cstheme="minorHAnsi"/>
        </w:rPr>
        <w:t>φόσον η σύνδεση των σταθμών προβλέπεται να γίνει σε υφιστάμενους ή υπό κατασκευή υποσταθμούς (Υ/Σ)</w:t>
      </w:r>
      <w:r w:rsidR="00384750" w:rsidRPr="000004E8">
        <w:rPr>
          <w:rFonts w:eastAsia="Calibri" w:cstheme="minorHAnsi"/>
        </w:rPr>
        <w:t>,</w:t>
      </w:r>
      <w:r w:rsidRPr="000004E8">
        <w:rPr>
          <w:rFonts w:eastAsia="Calibri" w:cstheme="minorHAnsi"/>
        </w:rPr>
        <w:t xml:space="preserve"> ή γραμμές υψηλής τάσης</w:t>
      </w:r>
      <w:r w:rsidR="00384750" w:rsidRPr="000004E8">
        <w:rPr>
          <w:rFonts w:eastAsia="Calibri" w:cstheme="minorHAnsi"/>
        </w:rPr>
        <w:t>,</w:t>
      </w:r>
      <w:r w:rsidRPr="000004E8">
        <w:rPr>
          <w:rFonts w:eastAsia="Calibri" w:cstheme="minorHAnsi"/>
        </w:rPr>
        <w:t xml:space="preserve"> ή </w:t>
      </w:r>
      <w:r w:rsidR="00105AE8" w:rsidRPr="000004E8">
        <w:rPr>
          <w:rFonts w:eastAsia="Calibri" w:cstheme="minorHAnsi"/>
        </w:rPr>
        <w:t>Κ</w:t>
      </w:r>
      <w:r w:rsidRPr="000004E8">
        <w:rPr>
          <w:rFonts w:eastAsia="Calibri" w:cstheme="minorHAnsi"/>
        </w:rPr>
        <w:t xml:space="preserve">έντρα </w:t>
      </w:r>
      <w:r w:rsidR="00105AE8" w:rsidRPr="000004E8">
        <w:rPr>
          <w:rFonts w:eastAsia="Calibri" w:cstheme="minorHAnsi"/>
        </w:rPr>
        <w:t>Υ</w:t>
      </w:r>
      <w:r w:rsidRPr="000004E8">
        <w:rPr>
          <w:rFonts w:eastAsia="Calibri" w:cstheme="minorHAnsi"/>
        </w:rPr>
        <w:t xml:space="preserve">περυψηλής </w:t>
      </w:r>
      <w:r w:rsidR="00105AE8" w:rsidRPr="000004E8">
        <w:rPr>
          <w:rFonts w:eastAsia="Calibri" w:cstheme="minorHAnsi"/>
        </w:rPr>
        <w:t>Τ</w:t>
      </w:r>
      <w:r w:rsidRPr="000004E8">
        <w:rPr>
          <w:rFonts w:eastAsia="Calibri" w:cstheme="minorHAnsi"/>
        </w:rPr>
        <w:t>άσης (Κ</w:t>
      </w:r>
      <w:r w:rsidR="00384750" w:rsidRPr="000004E8">
        <w:rPr>
          <w:rFonts w:eastAsia="Calibri" w:cstheme="minorHAnsi"/>
        </w:rPr>
        <w:t>.</w:t>
      </w:r>
      <w:r w:rsidRPr="000004E8">
        <w:rPr>
          <w:rFonts w:eastAsia="Calibri" w:cstheme="minorHAnsi"/>
        </w:rPr>
        <w:t>Υ</w:t>
      </w:r>
      <w:r w:rsidR="00384750" w:rsidRPr="000004E8">
        <w:rPr>
          <w:rFonts w:eastAsia="Calibri" w:cstheme="minorHAnsi"/>
        </w:rPr>
        <w:t>.</w:t>
      </w:r>
      <w:r w:rsidRPr="000004E8">
        <w:rPr>
          <w:rFonts w:eastAsia="Calibri" w:cstheme="minorHAnsi"/>
        </w:rPr>
        <w:t>Τ</w:t>
      </w:r>
      <w:r w:rsidR="00384750" w:rsidRPr="000004E8">
        <w:rPr>
          <w:rFonts w:eastAsia="Calibri" w:cstheme="minorHAnsi"/>
        </w:rPr>
        <w:t>.</w:t>
      </w:r>
      <w:r w:rsidRPr="000004E8">
        <w:rPr>
          <w:rFonts w:eastAsia="Calibri" w:cstheme="minorHAnsi"/>
        </w:rPr>
        <w:t>)</w:t>
      </w:r>
      <w:r w:rsidR="00CD1C66" w:rsidRPr="000004E8">
        <w:rPr>
          <w:rFonts w:eastAsia="Calibri" w:cstheme="minorHAnsi"/>
        </w:rPr>
        <w:t>,</w:t>
      </w:r>
      <w:r w:rsidRPr="000004E8">
        <w:rPr>
          <w:rFonts w:eastAsia="Calibri" w:cstheme="minorHAnsi"/>
        </w:rPr>
        <w:t xml:space="preserve"> όπου συνδέονται υφιστάμενοι λιγνιτικοί σταθμοί</w:t>
      </w:r>
      <w:r w:rsidR="00CD1C66" w:rsidRPr="000004E8">
        <w:rPr>
          <w:rFonts w:eastAsia="Calibri" w:cstheme="minorHAnsi"/>
        </w:rPr>
        <w:t>,</w:t>
      </w:r>
      <w:r w:rsidR="00384750" w:rsidRPr="000004E8">
        <w:rPr>
          <w:rFonts w:eastAsia="Calibri" w:cstheme="minorHAnsi"/>
        </w:rPr>
        <w:t xml:space="preserve"> </w:t>
      </w:r>
      <w:r w:rsidRPr="000004E8">
        <w:rPr>
          <w:rFonts w:eastAsia="Calibri" w:cstheme="minorHAnsi"/>
        </w:rPr>
        <w:t>ή σταθμοί Α</w:t>
      </w:r>
      <w:r w:rsidR="00384750" w:rsidRPr="000004E8">
        <w:rPr>
          <w:rFonts w:eastAsia="Calibri" w:cstheme="minorHAnsi"/>
        </w:rPr>
        <w:t>.</w:t>
      </w:r>
      <w:r w:rsidRPr="000004E8">
        <w:rPr>
          <w:rFonts w:eastAsia="Calibri" w:cstheme="minorHAnsi"/>
        </w:rPr>
        <w:t>Π</w:t>
      </w:r>
      <w:r w:rsidR="00384750" w:rsidRPr="000004E8">
        <w:rPr>
          <w:rFonts w:eastAsia="Calibri" w:cstheme="minorHAnsi"/>
        </w:rPr>
        <w:t>.</w:t>
      </w:r>
      <w:r w:rsidRPr="000004E8">
        <w:rPr>
          <w:rFonts w:eastAsia="Calibri" w:cstheme="minorHAnsi"/>
        </w:rPr>
        <w:t>Ε</w:t>
      </w:r>
      <w:r w:rsidR="00384750" w:rsidRPr="000004E8">
        <w:rPr>
          <w:rFonts w:eastAsia="Calibri" w:cstheme="minorHAnsi"/>
        </w:rPr>
        <w:t>.</w:t>
      </w:r>
      <w:r w:rsidR="00CD1C66" w:rsidRPr="000004E8">
        <w:rPr>
          <w:rFonts w:eastAsia="Calibri" w:cstheme="minorHAnsi"/>
        </w:rPr>
        <w:t>,</w:t>
      </w:r>
      <w:r w:rsidRPr="000004E8">
        <w:rPr>
          <w:rFonts w:eastAsia="Calibri" w:cstheme="minorHAnsi"/>
        </w:rPr>
        <w:t xml:space="preserve"> ή εγκαταστάσεις ορυχείων, </w:t>
      </w:r>
      <w:r w:rsidR="002D35DE" w:rsidRPr="008747E5">
        <w:rPr>
          <w:rFonts w:eastAsia="Calibri" w:cstheme="minorHAnsi"/>
        </w:rPr>
        <w:t>ο Διαχειριστής Ελληνικού Δικτύου Διανομής Ηλεκτρικής Ενέργειας</w:t>
      </w:r>
      <w:r w:rsidRPr="008747E5">
        <w:rPr>
          <w:rFonts w:eastAsia="Calibri" w:cstheme="minorHAnsi"/>
        </w:rPr>
        <w:t xml:space="preserve"> </w:t>
      </w:r>
      <w:r w:rsidR="002D35DE" w:rsidRPr="008747E5">
        <w:rPr>
          <w:rFonts w:eastAsia="Calibri" w:cstheme="minorHAnsi"/>
        </w:rPr>
        <w:t>(</w:t>
      </w:r>
      <w:r w:rsidR="00B85110" w:rsidRPr="008747E5">
        <w:rPr>
          <w:rFonts w:eastAsia="Calibri" w:cstheme="minorHAnsi"/>
        </w:rPr>
        <w:t>Δ.Ε.Δ.Δ.Η.Ε. Α.Ε</w:t>
      </w:r>
      <w:r w:rsidR="005B7E2F" w:rsidRPr="008747E5">
        <w:rPr>
          <w:rFonts w:eastAsia="Calibri" w:cstheme="minorHAnsi"/>
        </w:rPr>
        <w:t>)</w:t>
      </w:r>
      <w:r w:rsidR="00B85110" w:rsidRPr="008747E5">
        <w:rPr>
          <w:rFonts w:eastAsia="Calibri" w:cstheme="minorHAnsi"/>
        </w:rPr>
        <w:t xml:space="preserve"> ή</w:t>
      </w:r>
      <w:r w:rsidR="005B7E2F" w:rsidRPr="008747E5">
        <w:rPr>
          <w:rFonts w:eastAsia="Calibri" w:cstheme="minorHAnsi"/>
        </w:rPr>
        <w:t xml:space="preserve"> ο Ανεξάρτητος Διαχειριστής Μεταφοράς Ηλεκτρικής Ενέργειας</w:t>
      </w:r>
      <w:r w:rsidR="00B85110" w:rsidRPr="008747E5">
        <w:rPr>
          <w:rFonts w:eastAsia="Calibri" w:cstheme="minorHAnsi"/>
        </w:rPr>
        <w:t xml:space="preserve"> </w:t>
      </w:r>
      <w:r w:rsidR="005B7E2F" w:rsidRPr="008747E5">
        <w:rPr>
          <w:rFonts w:eastAsia="Calibri" w:cstheme="minorHAnsi"/>
        </w:rPr>
        <w:t>(</w:t>
      </w:r>
      <w:r w:rsidR="00B85110" w:rsidRPr="008747E5">
        <w:rPr>
          <w:rFonts w:eastAsia="Calibri" w:cstheme="minorHAnsi"/>
        </w:rPr>
        <w:t>Α.Δ.Μ.Η.Ε Α.Ε.</w:t>
      </w:r>
      <w:r w:rsidR="005B7E2F" w:rsidRPr="008747E5">
        <w:rPr>
          <w:rFonts w:eastAsia="Calibri" w:cstheme="minorHAnsi"/>
        </w:rPr>
        <w:t>),</w:t>
      </w:r>
      <w:r w:rsidR="00B85110" w:rsidRPr="008747E5">
        <w:rPr>
          <w:rFonts w:eastAsia="Calibri" w:cstheme="minorHAnsi"/>
        </w:rPr>
        <w:t xml:space="preserve"> </w:t>
      </w:r>
      <w:r w:rsidRPr="008747E5">
        <w:rPr>
          <w:rFonts w:eastAsia="Calibri" w:cstheme="minorHAnsi"/>
        </w:rPr>
        <w:t>χορηγούν οριστικές προσφορές σύνδεσης μετά τ</w:t>
      </w:r>
      <w:r w:rsidRPr="000004E8">
        <w:rPr>
          <w:rFonts w:eastAsia="Calibri" w:cstheme="minorHAnsi"/>
        </w:rPr>
        <w:t>ην έκδοση της βεβαίωσης</w:t>
      </w:r>
      <w:r w:rsidR="00CD1C66" w:rsidRPr="000004E8">
        <w:rPr>
          <w:rFonts w:eastAsia="Calibri" w:cstheme="minorHAnsi"/>
        </w:rPr>
        <w:t xml:space="preserve"> </w:t>
      </w:r>
      <w:r w:rsidRPr="000004E8">
        <w:rPr>
          <w:rFonts w:eastAsia="Calibri" w:cstheme="minorHAnsi"/>
        </w:rPr>
        <w:t>του άρθρου 11 του ν. 4685/2020 (Α’ 92)</w:t>
      </w:r>
      <w:r w:rsidR="00390570" w:rsidRPr="000004E8">
        <w:rPr>
          <w:rFonts w:eastAsia="Calibri" w:cstheme="minorHAnsi"/>
        </w:rPr>
        <w:t>, κατά παρέκκλιση της περ. α) της παρ. 4 του άρθρου 8 ν. 3468/2006</w:t>
      </w:r>
      <w:r w:rsidR="00F55FB5" w:rsidRPr="000004E8">
        <w:rPr>
          <w:rFonts w:eastAsia="Calibri" w:cstheme="minorHAnsi"/>
        </w:rPr>
        <w:t xml:space="preserve"> (Α΄ 129)</w:t>
      </w:r>
      <w:r w:rsidRPr="000004E8">
        <w:rPr>
          <w:rFonts w:eastAsia="Calibri" w:cstheme="minorHAnsi"/>
        </w:rPr>
        <w:t xml:space="preserve">. </w:t>
      </w:r>
    </w:p>
    <w:p w14:paraId="49CE4EED" w14:textId="5E475B6F" w:rsidR="008B482E" w:rsidRPr="000004E8" w:rsidRDefault="008B482E" w:rsidP="00F357BF">
      <w:pPr>
        <w:pStyle w:val="a5"/>
        <w:spacing w:after="60" w:line="300" w:lineRule="auto"/>
        <w:jc w:val="both"/>
        <w:rPr>
          <w:rFonts w:eastAsia="Calibri" w:cstheme="minorHAnsi"/>
          <w:sz w:val="22"/>
          <w:szCs w:val="22"/>
        </w:rPr>
      </w:pPr>
      <w:r w:rsidRPr="000004E8">
        <w:rPr>
          <w:rFonts w:eastAsia="Calibri" w:cstheme="minorHAnsi"/>
          <w:sz w:val="22"/>
          <w:szCs w:val="22"/>
        </w:rPr>
        <w:t>4. Εντός της διάρκειας ισχύος της οριστικής προσφοράς σύνδεσης, ο κάτοχος της βεβαίωσης παραγωγού δύναται να ζητεί την επιστροφή της εγγυητικής επιστολής της περ. 3 της υποπαρ. Ι.1 της παρ</w:t>
      </w:r>
      <w:r w:rsidR="00CD1C66" w:rsidRPr="000004E8">
        <w:rPr>
          <w:rFonts w:eastAsia="Calibri" w:cstheme="minorHAnsi"/>
          <w:sz w:val="22"/>
          <w:szCs w:val="22"/>
        </w:rPr>
        <w:t>.</w:t>
      </w:r>
      <w:r w:rsidRPr="000004E8">
        <w:rPr>
          <w:rFonts w:eastAsia="Calibri" w:cstheme="minorHAnsi"/>
          <w:sz w:val="22"/>
          <w:szCs w:val="22"/>
        </w:rPr>
        <w:t xml:space="preserve"> Ι του </w:t>
      </w:r>
      <w:r w:rsidRPr="000004E8">
        <w:rPr>
          <w:rFonts w:eastAsia="Calibri" w:cstheme="minorHAnsi"/>
          <w:sz w:val="22"/>
          <w:szCs w:val="22"/>
        </w:rPr>
        <w:lastRenderedPageBreak/>
        <w:t>άρθρου πρώτου του ν. 4152/2013 (Α’ 107), σε περίπτωση που ο σταθμός δεν μπορεί να υλοποιηθεί για λόγους μεταβολής του νομικού ή κανονιστικού πλαισίου χωροθέτησης, ιδίως για λόγους που σχετίζονται με τις χρήσεις γης εντός των Ζ.ΑΠ.</w:t>
      </w:r>
      <w:r w:rsidR="008A578C">
        <w:rPr>
          <w:rFonts w:eastAsia="Calibri" w:cstheme="minorHAnsi"/>
          <w:sz w:val="22"/>
          <w:szCs w:val="22"/>
        </w:rPr>
        <w:t>.</w:t>
      </w:r>
      <w:r w:rsidRPr="000004E8">
        <w:rPr>
          <w:rFonts w:eastAsia="Calibri" w:cstheme="minorHAnsi"/>
          <w:sz w:val="22"/>
          <w:szCs w:val="22"/>
        </w:rPr>
        <w:t xml:space="preserve"> Με την επιστροφή της εγγυητικής επιστολής, η οριστική προσφορά σύνδεσης παύει αυτοδικαίως να ισχύει.</w:t>
      </w:r>
    </w:p>
    <w:p w14:paraId="0AB6A6FB" w14:textId="3F762DB5" w:rsidR="008B482E" w:rsidRPr="000004E8" w:rsidRDefault="008B482E" w:rsidP="00F357BF">
      <w:pPr>
        <w:spacing w:after="60" w:line="300" w:lineRule="auto"/>
        <w:jc w:val="both"/>
        <w:rPr>
          <w:rFonts w:cstheme="minorHAnsi"/>
        </w:rPr>
      </w:pPr>
      <w:r w:rsidRPr="000004E8">
        <w:rPr>
          <w:rFonts w:cstheme="minorHAnsi"/>
        </w:rPr>
        <w:t xml:space="preserve">5. Εάν, </w:t>
      </w:r>
      <w:r w:rsidRPr="000004E8">
        <w:rPr>
          <w:rFonts w:eastAsia="Calibri" w:cstheme="minorHAnsi"/>
        </w:rPr>
        <w:t>για λόγους μεταβολής του νομικού ή κανονιστικού πλαισίου χωροθέτησης, ιδίως για λόγους που σχετίζονται με τις χρήσεις γης εντός των Ζ.ΑΠ</w:t>
      </w:r>
      <w:r w:rsidR="005A347D" w:rsidRPr="000004E8">
        <w:rPr>
          <w:rFonts w:eastAsia="Calibri" w:cstheme="minorHAnsi"/>
        </w:rPr>
        <w:t>.</w:t>
      </w:r>
      <w:r w:rsidRPr="000004E8">
        <w:rPr>
          <w:rFonts w:cstheme="minorHAnsi"/>
        </w:rPr>
        <w:t>, προκύπτει η ανάγκη μεταφοράς σε άλλη θέση ή μεταβολής των ορίων του πολυγώνου του γηπέδου εγκατάστασης των έργων Α</w:t>
      </w:r>
      <w:r w:rsidR="005A347D" w:rsidRPr="000004E8">
        <w:rPr>
          <w:rFonts w:cstheme="minorHAnsi"/>
        </w:rPr>
        <w:t>.</w:t>
      </w:r>
      <w:r w:rsidRPr="000004E8">
        <w:rPr>
          <w:rFonts w:cstheme="minorHAnsi"/>
        </w:rPr>
        <w:t>Π</w:t>
      </w:r>
      <w:r w:rsidR="005A347D" w:rsidRPr="000004E8">
        <w:rPr>
          <w:rFonts w:cstheme="minorHAnsi"/>
        </w:rPr>
        <w:t>.</w:t>
      </w:r>
      <w:r w:rsidRPr="000004E8">
        <w:rPr>
          <w:rFonts w:cstheme="minorHAnsi"/>
        </w:rPr>
        <w:t>Ε</w:t>
      </w:r>
      <w:r w:rsidR="005A347D" w:rsidRPr="000004E8">
        <w:rPr>
          <w:rFonts w:cstheme="minorHAnsi"/>
        </w:rPr>
        <w:t>.</w:t>
      </w:r>
      <w:r w:rsidRPr="000004E8">
        <w:rPr>
          <w:rFonts w:cstheme="minorHAnsi"/>
        </w:rPr>
        <w:t xml:space="preserve"> </w:t>
      </w:r>
      <w:r w:rsidRPr="000004E8">
        <w:rPr>
          <w:rFonts w:cstheme="minorHAnsi"/>
          <w:iCs/>
        </w:rPr>
        <w:t>και Σ</w:t>
      </w:r>
      <w:r w:rsidR="005A347D" w:rsidRPr="000004E8">
        <w:rPr>
          <w:rFonts w:cstheme="minorHAnsi"/>
          <w:iCs/>
        </w:rPr>
        <w:t>.</w:t>
      </w:r>
      <w:r w:rsidRPr="000004E8">
        <w:rPr>
          <w:rFonts w:cstheme="minorHAnsi"/>
          <w:iCs/>
        </w:rPr>
        <w:t>Η</w:t>
      </w:r>
      <w:r w:rsidR="005A347D" w:rsidRPr="000004E8">
        <w:rPr>
          <w:rFonts w:cstheme="minorHAnsi"/>
          <w:iCs/>
        </w:rPr>
        <w:t>.</w:t>
      </w:r>
      <w:r w:rsidRPr="000004E8">
        <w:rPr>
          <w:rFonts w:cstheme="minorHAnsi"/>
          <w:iCs/>
        </w:rPr>
        <w:t>Θ</w:t>
      </w:r>
      <w:r w:rsidR="005A347D" w:rsidRPr="000004E8">
        <w:rPr>
          <w:rFonts w:cstheme="minorHAnsi"/>
          <w:iCs/>
        </w:rPr>
        <w:t>.</w:t>
      </w:r>
      <w:r w:rsidRPr="000004E8">
        <w:rPr>
          <w:rFonts w:cstheme="minorHAnsi"/>
          <w:iCs/>
        </w:rPr>
        <w:t>Υ</w:t>
      </w:r>
      <w:r w:rsidR="005A347D" w:rsidRPr="000004E8">
        <w:rPr>
          <w:rFonts w:cstheme="minorHAnsi"/>
          <w:iCs/>
        </w:rPr>
        <w:t>.</w:t>
      </w:r>
      <w:r w:rsidRPr="000004E8">
        <w:rPr>
          <w:rFonts w:cstheme="minorHAnsi"/>
          <w:iCs/>
        </w:rPr>
        <w:t>Α</w:t>
      </w:r>
      <w:r w:rsidR="005A347D" w:rsidRPr="000004E8">
        <w:rPr>
          <w:rFonts w:cstheme="minorHAnsi"/>
          <w:iCs/>
        </w:rPr>
        <w:t>.</w:t>
      </w:r>
      <w:r w:rsidRPr="000004E8">
        <w:rPr>
          <w:rFonts w:cstheme="minorHAnsi"/>
          <w:iCs/>
        </w:rPr>
        <w:t xml:space="preserve"> </w:t>
      </w:r>
      <w:r w:rsidRPr="000004E8">
        <w:rPr>
          <w:rFonts w:cstheme="minorHAnsi"/>
        </w:rPr>
        <w:t>εντός των πυρήνων των Ζ.ΑΠ. και των συνοδών αυτών έργων, για τα οποία έχει κατατεθεί αίτηση ή έχει εκδοθεί βεβαίωση παραγωγής ηλεκτρικής ενέργειας, επιτρέπεται άπαξ και μόνο εντός του Πυρήνα Ζ.ΑΠ. η μεταφορά του τόπου εγκατάστασης ή η μεταβολή των ορίων του πολυγώνου, μετά από αίτηση του κατόχου της βεβαίωσης στο</w:t>
      </w:r>
      <w:r w:rsidR="008B3158">
        <w:rPr>
          <w:rFonts w:cstheme="minorHAnsi"/>
        </w:rPr>
        <w:t>ν</w:t>
      </w:r>
      <w:r w:rsidRPr="000004E8">
        <w:rPr>
          <w:rFonts w:cstheme="minorHAnsi"/>
        </w:rPr>
        <w:t xml:space="preserve"> φορέα αδειοδότησης του άρθρου 10 του ν. 4685/2020, εντός κύκλου υποβολής αιτήσεων, όπως αυτός καθορίζεται στην παρ. 2 του άρθρου 11 του ν. 4685/2020. </w:t>
      </w:r>
    </w:p>
    <w:p w14:paraId="1C3091B3" w14:textId="6844A488" w:rsidR="008B482E" w:rsidRPr="000004E8" w:rsidRDefault="008B482E" w:rsidP="00F357BF">
      <w:pPr>
        <w:pStyle w:val="a5"/>
        <w:spacing w:after="60" w:line="300" w:lineRule="auto"/>
        <w:jc w:val="both"/>
        <w:rPr>
          <w:sz w:val="22"/>
          <w:szCs w:val="22"/>
        </w:rPr>
      </w:pPr>
      <w:r w:rsidRPr="000004E8">
        <w:rPr>
          <w:rFonts w:eastAsia="Calibri" w:cstheme="minorHAnsi"/>
          <w:sz w:val="22"/>
          <w:szCs w:val="22"/>
        </w:rPr>
        <w:t>6. Ειδικά για έργα Α</w:t>
      </w:r>
      <w:r w:rsidR="005A347D" w:rsidRPr="000004E8">
        <w:rPr>
          <w:rFonts w:eastAsia="Calibri" w:cstheme="minorHAnsi"/>
          <w:sz w:val="22"/>
          <w:szCs w:val="22"/>
        </w:rPr>
        <w:t>.</w:t>
      </w:r>
      <w:r w:rsidRPr="000004E8">
        <w:rPr>
          <w:rFonts w:eastAsia="Calibri" w:cstheme="minorHAnsi"/>
          <w:sz w:val="22"/>
          <w:szCs w:val="22"/>
        </w:rPr>
        <w:t>Π</w:t>
      </w:r>
      <w:r w:rsidR="005A347D" w:rsidRPr="000004E8">
        <w:rPr>
          <w:rFonts w:eastAsia="Calibri" w:cstheme="minorHAnsi"/>
          <w:sz w:val="22"/>
          <w:szCs w:val="22"/>
        </w:rPr>
        <w:t>.</w:t>
      </w:r>
      <w:r w:rsidRPr="000004E8">
        <w:rPr>
          <w:rFonts w:eastAsia="Calibri" w:cstheme="minorHAnsi"/>
          <w:sz w:val="22"/>
          <w:szCs w:val="22"/>
        </w:rPr>
        <w:t>Ε</w:t>
      </w:r>
      <w:r w:rsidR="005A347D" w:rsidRPr="000004E8">
        <w:rPr>
          <w:rFonts w:eastAsia="Calibri" w:cstheme="minorHAnsi"/>
          <w:sz w:val="22"/>
          <w:szCs w:val="22"/>
        </w:rPr>
        <w:t>.</w:t>
      </w:r>
      <w:r w:rsidRPr="000004E8">
        <w:rPr>
          <w:rFonts w:eastAsia="Calibri" w:cstheme="minorHAnsi"/>
          <w:sz w:val="22"/>
          <w:szCs w:val="22"/>
        </w:rPr>
        <w:t xml:space="preserve"> και Σ</w:t>
      </w:r>
      <w:r w:rsidR="005A347D" w:rsidRPr="000004E8">
        <w:rPr>
          <w:rFonts w:eastAsia="Calibri" w:cstheme="minorHAnsi"/>
          <w:sz w:val="22"/>
          <w:szCs w:val="22"/>
        </w:rPr>
        <w:t>.</w:t>
      </w:r>
      <w:r w:rsidRPr="000004E8">
        <w:rPr>
          <w:rFonts w:eastAsia="Calibri" w:cstheme="minorHAnsi"/>
          <w:sz w:val="22"/>
          <w:szCs w:val="22"/>
        </w:rPr>
        <w:t>Η</w:t>
      </w:r>
      <w:r w:rsidR="005A347D" w:rsidRPr="000004E8">
        <w:rPr>
          <w:rFonts w:eastAsia="Calibri" w:cstheme="minorHAnsi"/>
          <w:sz w:val="22"/>
          <w:szCs w:val="22"/>
        </w:rPr>
        <w:t>.</w:t>
      </w:r>
      <w:r w:rsidRPr="000004E8">
        <w:rPr>
          <w:rFonts w:eastAsia="Calibri" w:cstheme="minorHAnsi"/>
          <w:sz w:val="22"/>
          <w:szCs w:val="22"/>
        </w:rPr>
        <w:t>Θ</w:t>
      </w:r>
      <w:r w:rsidR="005A347D" w:rsidRPr="000004E8">
        <w:rPr>
          <w:rFonts w:eastAsia="Calibri" w:cstheme="minorHAnsi"/>
          <w:sz w:val="22"/>
          <w:szCs w:val="22"/>
        </w:rPr>
        <w:t>.</w:t>
      </w:r>
      <w:r w:rsidRPr="000004E8">
        <w:rPr>
          <w:rFonts w:eastAsia="Calibri" w:cstheme="minorHAnsi"/>
          <w:sz w:val="22"/>
          <w:szCs w:val="22"/>
        </w:rPr>
        <w:t>Υ</w:t>
      </w:r>
      <w:r w:rsidR="005A347D" w:rsidRPr="000004E8">
        <w:rPr>
          <w:rFonts w:eastAsia="Calibri" w:cstheme="minorHAnsi"/>
          <w:sz w:val="22"/>
          <w:szCs w:val="22"/>
        </w:rPr>
        <w:t>.</w:t>
      </w:r>
      <w:r w:rsidRPr="000004E8">
        <w:rPr>
          <w:rFonts w:eastAsia="Calibri" w:cstheme="minorHAnsi"/>
          <w:sz w:val="22"/>
          <w:szCs w:val="22"/>
        </w:rPr>
        <w:t>Α</w:t>
      </w:r>
      <w:r w:rsidR="005A347D" w:rsidRPr="000004E8">
        <w:rPr>
          <w:rFonts w:eastAsia="Calibri" w:cstheme="minorHAnsi"/>
          <w:sz w:val="22"/>
          <w:szCs w:val="22"/>
        </w:rPr>
        <w:t>.</w:t>
      </w:r>
      <w:r w:rsidRPr="000004E8">
        <w:rPr>
          <w:rFonts w:eastAsia="Calibri" w:cstheme="minorHAnsi"/>
          <w:sz w:val="22"/>
          <w:szCs w:val="22"/>
        </w:rPr>
        <w:t xml:space="preserve"> εντός των πυρήνων των Ζ.ΑΠ., για τα οποία έχει υποβληθεί αίτηση για χορήγηση βεβαίωσης παραγωγού πριν </w:t>
      </w:r>
      <w:r w:rsidR="008B3158">
        <w:rPr>
          <w:rFonts w:eastAsia="Calibri" w:cstheme="minorHAnsi"/>
          <w:sz w:val="22"/>
          <w:szCs w:val="22"/>
        </w:rPr>
        <w:t xml:space="preserve">από </w:t>
      </w:r>
      <w:r w:rsidRPr="000004E8">
        <w:rPr>
          <w:rFonts w:eastAsia="Calibri" w:cstheme="minorHAnsi"/>
          <w:sz w:val="22"/>
          <w:szCs w:val="22"/>
        </w:rPr>
        <w:t>την έναρξη ισχύος του παρόντος</w:t>
      </w:r>
      <w:r w:rsidR="00143712" w:rsidRPr="000004E8">
        <w:rPr>
          <w:rFonts w:eastAsia="Calibri" w:cstheme="minorHAnsi"/>
          <w:sz w:val="22"/>
          <w:szCs w:val="22"/>
        </w:rPr>
        <w:t>,</w:t>
      </w:r>
      <w:r w:rsidR="005A347D" w:rsidRPr="000004E8">
        <w:rPr>
          <w:rFonts w:eastAsia="Calibri" w:cstheme="minorHAnsi"/>
          <w:sz w:val="22"/>
          <w:szCs w:val="22"/>
        </w:rPr>
        <w:t xml:space="preserve"> </w:t>
      </w:r>
      <w:r w:rsidRPr="000004E8">
        <w:rPr>
          <w:rFonts w:cstheme="minorHAnsi"/>
          <w:sz w:val="22"/>
          <w:szCs w:val="22"/>
        </w:rPr>
        <w:t xml:space="preserve">ανεξαρτήτως αν έχει εκδοθεί η σχετική βεβαίωση παραγωγού, </w:t>
      </w:r>
      <w:r w:rsidRPr="000004E8">
        <w:rPr>
          <w:rFonts w:eastAsia="Calibri" w:cstheme="minorHAnsi"/>
          <w:sz w:val="22"/>
          <w:szCs w:val="22"/>
        </w:rPr>
        <w:t>επιτρέπεται η υποβολή αίτησης στο</w:t>
      </w:r>
      <w:r w:rsidR="008B3158">
        <w:rPr>
          <w:rFonts w:eastAsia="Calibri" w:cstheme="minorHAnsi"/>
          <w:sz w:val="22"/>
          <w:szCs w:val="22"/>
        </w:rPr>
        <w:t>ν</w:t>
      </w:r>
      <w:r w:rsidRPr="000004E8">
        <w:rPr>
          <w:rFonts w:eastAsia="Calibri" w:cstheme="minorHAnsi"/>
          <w:sz w:val="22"/>
          <w:szCs w:val="22"/>
        </w:rPr>
        <w:t xml:space="preserve"> φορέα αδειοδότησης εντός τριών (3) μηνών από την έναρξη ισχύος του παρόντος και εντός κύκλου υποβολής αιτήσεων, όπως αυτός καθορίζεται στην παρ. 2 του άρθρου 11 του ν. 4685/2020, για τη </w:t>
      </w:r>
      <w:r w:rsidRPr="000004E8">
        <w:rPr>
          <w:rFonts w:cstheme="minorHAnsi"/>
          <w:sz w:val="22"/>
          <w:szCs w:val="22"/>
        </w:rPr>
        <w:t>μεταφορά των σταθμών σε άλλη θέση εντός του αντίστοιχου Πυρήνα Ζ.ΑΠ. και για τη συνένωση ή διάσπαση των βεβαιώσεων κατά τα ειδικότερα οριζόμενα στο</w:t>
      </w:r>
      <w:r w:rsidR="005A347D" w:rsidRPr="000004E8">
        <w:rPr>
          <w:rFonts w:cstheme="minorHAnsi"/>
          <w:sz w:val="22"/>
          <w:szCs w:val="22"/>
        </w:rPr>
        <w:t>ν</w:t>
      </w:r>
      <w:r w:rsidRPr="000004E8">
        <w:rPr>
          <w:rFonts w:cstheme="minorHAnsi"/>
          <w:sz w:val="22"/>
          <w:szCs w:val="22"/>
        </w:rPr>
        <w:t xml:space="preserve"> ν. 4685/2020.</w:t>
      </w:r>
      <w:r w:rsidR="001C64CE" w:rsidRPr="000004E8">
        <w:rPr>
          <w:rFonts w:cstheme="minorHAnsi"/>
          <w:sz w:val="22"/>
          <w:szCs w:val="22"/>
        </w:rPr>
        <w:t xml:space="preserve"> </w:t>
      </w:r>
      <w:r w:rsidR="001C64CE" w:rsidRPr="000004E8">
        <w:rPr>
          <w:sz w:val="22"/>
          <w:szCs w:val="22"/>
        </w:rPr>
        <w:t xml:space="preserve">Εντός της ίδιας προθεσμίας επιτρέπεται </w:t>
      </w:r>
      <w:r w:rsidR="001C64CE" w:rsidRPr="000004E8">
        <w:rPr>
          <w:color w:val="000000"/>
          <w:sz w:val="22"/>
          <w:szCs w:val="22"/>
        </w:rPr>
        <w:t>η υποβολή αίτησης για χορήγηση βεβαίωσης παραγωγού για έργα Α</w:t>
      </w:r>
      <w:r w:rsidR="008747E5" w:rsidRPr="008747E5">
        <w:rPr>
          <w:color w:val="000000"/>
          <w:sz w:val="22"/>
          <w:szCs w:val="22"/>
        </w:rPr>
        <w:t>.</w:t>
      </w:r>
      <w:r w:rsidR="001C64CE" w:rsidRPr="000004E8">
        <w:rPr>
          <w:color w:val="000000"/>
          <w:sz w:val="22"/>
          <w:szCs w:val="22"/>
        </w:rPr>
        <w:t>Π</w:t>
      </w:r>
      <w:r w:rsidR="008747E5" w:rsidRPr="008747E5">
        <w:rPr>
          <w:color w:val="000000"/>
          <w:sz w:val="22"/>
          <w:szCs w:val="22"/>
        </w:rPr>
        <w:t>.</w:t>
      </w:r>
      <w:r w:rsidR="001C64CE" w:rsidRPr="000004E8">
        <w:rPr>
          <w:color w:val="000000"/>
          <w:sz w:val="22"/>
          <w:szCs w:val="22"/>
        </w:rPr>
        <w:t>Ε</w:t>
      </w:r>
      <w:r w:rsidR="008747E5" w:rsidRPr="008747E5">
        <w:rPr>
          <w:color w:val="000000"/>
          <w:sz w:val="22"/>
          <w:szCs w:val="22"/>
        </w:rPr>
        <w:t>.</w:t>
      </w:r>
      <w:r w:rsidR="001C64CE" w:rsidRPr="000004E8">
        <w:rPr>
          <w:color w:val="000000"/>
          <w:sz w:val="22"/>
          <w:szCs w:val="22"/>
        </w:rPr>
        <w:t xml:space="preserve"> και Σ</w:t>
      </w:r>
      <w:r w:rsidR="008747E5" w:rsidRPr="008747E5">
        <w:rPr>
          <w:color w:val="000000"/>
          <w:sz w:val="22"/>
          <w:szCs w:val="22"/>
        </w:rPr>
        <w:t>.</w:t>
      </w:r>
      <w:r w:rsidR="001C64CE" w:rsidRPr="000004E8">
        <w:rPr>
          <w:color w:val="000000"/>
          <w:sz w:val="22"/>
          <w:szCs w:val="22"/>
        </w:rPr>
        <w:t>Η</w:t>
      </w:r>
      <w:r w:rsidR="008747E5" w:rsidRPr="008747E5">
        <w:rPr>
          <w:color w:val="000000"/>
          <w:sz w:val="22"/>
          <w:szCs w:val="22"/>
        </w:rPr>
        <w:t>.</w:t>
      </w:r>
      <w:r w:rsidR="001C64CE" w:rsidRPr="000004E8">
        <w:rPr>
          <w:color w:val="000000"/>
          <w:sz w:val="22"/>
          <w:szCs w:val="22"/>
        </w:rPr>
        <w:t>Θ</w:t>
      </w:r>
      <w:r w:rsidR="008747E5" w:rsidRPr="008747E5">
        <w:rPr>
          <w:color w:val="000000"/>
          <w:sz w:val="22"/>
          <w:szCs w:val="22"/>
        </w:rPr>
        <w:t>.</w:t>
      </w:r>
      <w:r w:rsidR="001C64CE" w:rsidRPr="000004E8">
        <w:rPr>
          <w:color w:val="000000"/>
          <w:sz w:val="22"/>
          <w:szCs w:val="22"/>
        </w:rPr>
        <w:t>Υ</w:t>
      </w:r>
      <w:r w:rsidR="008747E5" w:rsidRPr="008747E5">
        <w:rPr>
          <w:color w:val="000000"/>
          <w:sz w:val="22"/>
          <w:szCs w:val="22"/>
        </w:rPr>
        <w:t>.</w:t>
      </w:r>
      <w:r w:rsidR="001C64CE" w:rsidRPr="000004E8">
        <w:rPr>
          <w:color w:val="000000"/>
          <w:sz w:val="22"/>
          <w:szCs w:val="22"/>
        </w:rPr>
        <w:t>Α</w:t>
      </w:r>
      <w:r w:rsidR="008747E5" w:rsidRPr="008747E5">
        <w:rPr>
          <w:color w:val="000000"/>
          <w:sz w:val="22"/>
          <w:szCs w:val="22"/>
        </w:rPr>
        <w:t>.</w:t>
      </w:r>
      <w:r w:rsidR="001C64CE" w:rsidRPr="000004E8">
        <w:rPr>
          <w:color w:val="000000"/>
          <w:sz w:val="22"/>
          <w:szCs w:val="22"/>
        </w:rPr>
        <w:t xml:space="preserve"> </w:t>
      </w:r>
      <w:r w:rsidR="001C64CE" w:rsidRPr="000004E8">
        <w:rPr>
          <w:color w:val="201F1E"/>
          <w:sz w:val="22"/>
          <w:szCs w:val="22"/>
        </w:rPr>
        <w:t>εντός Πυρήνων Ζ.ΑΠ. που βρίσκονται σε περιοχές που έχουν χαρακτηριστεί ως κορεσμένο δίκτυο με απόφαση της Ρ</w:t>
      </w:r>
      <w:r w:rsidR="008747E5" w:rsidRPr="008747E5">
        <w:rPr>
          <w:color w:val="201F1E"/>
          <w:sz w:val="22"/>
          <w:szCs w:val="22"/>
        </w:rPr>
        <w:t>.</w:t>
      </w:r>
      <w:r w:rsidR="001C64CE" w:rsidRPr="000004E8">
        <w:rPr>
          <w:color w:val="201F1E"/>
          <w:sz w:val="22"/>
          <w:szCs w:val="22"/>
        </w:rPr>
        <w:t>Α</w:t>
      </w:r>
      <w:r w:rsidR="008747E5" w:rsidRPr="008747E5">
        <w:rPr>
          <w:color w:val="201F1E"/>
          <w:sz w:val="22"/>
          <w:szCs w:val="22"/>
        </w:rPr>
        <w:t>.</w:t>
      </w:r>
      <w:r w:rsidR="001C64CE" w:rsidRPr="000004E8">
        <w:rPr>
          <w:color w:val="201F1E"/>
          <w:sz w:val="22"/>
          <w:szCs w:val="22"/>
        </w:rPr>
        <w:t>Ε</w:t>
      </w:r>
      <w:r w:rsidR="008747E5" w:rsidRPr="008747E5">
        <w:rPr>
          <w:color w:val="201F1E"/>
          <w:sz w:val="22"/>
          <w:szCs w:val="22"/>
        </w:rPr>
        <w:t>.</w:t>
      </w:r>
      <w:r w:rsidR="001C64CE" w:rsidRPr="000004E8">
        <w:rPr>
          <w:color w:val="201F1E"/>
          <w:sz w:val="22"/>
          <w:szCs w:val="22"/>
        </w:rPr>
        <w:t xml:space="preserve">, εφόσον </w:t>
      </w:r>
      <w:r w:rsidR="001C64CE" w:rsidRPr="000004E8">
        <w:rPr>
          <w:sz w:val="22"/>
          <w:szCs w:val="22"/>
        </w:rPr>
        <w:t xml:space="preserve">η συνολική ισχύς των έργων αυτών δεν υπερβαίνει την ισχύ των εν λειτουργία κατά την έναρξη ισχύος του παρόντος λιγνιτικών μονάδων του αντίστοιχου Πυρήνα Ζ.ΑΠ. Οι οριστικές προσφορές για τους σταθμούς </w:t>
      </w:r>
      <w:r w:rsidR="00750A3C" w:rsidRPr="000004E8">
        <w:rPr>
          <w:sz w:val="22"/>
          <w:szCs w:val="22"/>
        </w:rPr>
        <w:t xml:space="preserve">του προηγούμενου εδαφίου </w:t>
      </w:r>
      <w:r w:rsidR="001C64CE" w:rsidRPr="000004E8">
        <w:rPr>
          <w:sz w:val="22"/>
          <w:szCs w:val="22"/>
        </w:rPr>
        <w:t>χορηγούνται υπό τον όρο ότι οι σταθμοί Α</w:t>
      </w:r>
      <w:r w:rsidR="008747E5" w:rsidRPr="008747E5">
        <w:rPr>
          <w:sz w:val="22"/>
          <w:szCs w:val="22"/>
        </w:rPr>
        <w:t>.</w:t>
      </w:r>
      <w:r w:rsidR="001C64CE" w:rsidRPr="000004E8">
        <w:rPr>
          <w:sz w:val="22"/>
          <w:szCs w:val="22"/>
        </w:rPr>
        <w:t>Π</w:t>
      </w:r>
      <w:r w:rsidR="008747E5" w:rsidRPr="008747E5">
        <w:rPr>
          <w:sz w:val="22"/>
          <w:szCs w:val="22"/>
        </w:rPr>
        <w:t>.</w:t>
      </w:r>
      <w:r w:rsidR="001C64CE" w:rsidRPr="000004E8">
        <w:rPr>
          <w:sz w:val="22"/>
          <w:szCs w:val="22"/>
        </w:rPr>
        <w:t>Ε</w:t>
      </w:r>
      <w:r w:rsidR="008747E5" w:rsidRPr="008747E5">
        <w:rPr>
          <w:sz w:val="22"/>
          <w:szCs w:val="22"/>
        </w:rPr>
        <w:t>.</w:t>
      </w:r>
      <w:r w:rsidR="001C64CE" w:rsidRPr="000004E8">
        <w:rPr>
          <w:sz w:val="22"/>
          <w:szCs w:val="22"/>
        </w:rPr>
        <w:t xml:space="preserve"> και Σ</w:t>
      </w:r>
      <w:r w:rsidR="008747E5" w:rsidRPr="008747E5">
        <w:rPr>
          <w:sz w:val="22"/>
          <w:szCs w:val="22"/>
        </w:rPr>
        <w:t>.</w:t>
      </w:r>
      <w:r w:rsidR="001C64CE" w:rsidRPr="000004E8">
        <w:rPr>
          <w:sz w:val="22"/>
          <w:szCs w:val="22"/>
        </w:rPr>
        <w:t>Η</w:t>
      </w:r>
      <w:r w:rsidR="008747E5" w:rsidRPr="008747E5">
        <w:rPr>
          <w:sz w:val="22"/>
          <w:szCs w:val="22"/>
        </w:rPr>
        <w:t>.</w:t>
      </w:r>
      <w:r w:rsidR="001C64CE" w:rsidRPr="000004E8">
        <w:rPr>
          <w:sz w:val="22"/>
          <w:szCs w:val="22"/>
        </w:rPr>
        <w:t>Θ</w:t>
      </w:r>
      <w:r w:rsidR="008747E5" w:rsidRPr="008747E5">
        <w:rPr>
          <w:sz w:val="22"/>
          <w:szCs w:val="22"/>
        </w:rPr>
        <w:t>.</w:t>
      </w:r>
      <w:r w:rsidR="001C64CE" w:rsidRPr="000004E8">
        <w:rPr>
          <w:sz w:val="22"/>
          <w:szCs w:val="22"/>
        </w:rPr>
        <w:t>Υ</w:t>
      </w:r>
      <w:r w:rsidR="008747E5" w:rsidRPr="008747E5">
        <w:rPr>
          <w:sz w:val="22"/>
          <w:szCs w:val="22"/>
        </w:rPr>
        <w:t>.</w:t>
      </w:r>
      <w:r w:rsidR="001C64CE" w:rsidRPr="000004E8">
        <w:rPr>
          <w:sz w:val="22"/>
          <w:szCs w:val="22"/>
        </w:rPr>
        <w:t>Α</w:t>
      </w:r>
      <w:r w:rsidR="008747E5" w:rsidRPr="008747E5">
        <w:rPr>
          <w:sz w:val="22"/>
          <w:szCs w:val="22"/>
        </w:rPr>
        <w:t>.</w:t>
      </w:r>
      <w:r w:rsidR="001C64CE" w:rsidRPr="000004E8">
        <w:rPr>
          <w:sz w:val="22"/>
          <w:szCs w:val="22"/>
        </w:rPr>
        <w:t xml:space="preserve"> θα τεθούν σε λειτουργία μετά την πλήρη απόσυρση των λιγνιτικών μονάδων του αντίστοιχου Πυρήνα Ζ.ΑΠ.</w:t>
      </w:r>
    </w:p>
    <w:p w14:paraId="4EECEB47" w14:textId="4975460F" w:rsidR="000D3BBD" w:rsidRPr="000004E8" w:rsidRDefault="000D3BBD" w:rsidP="00F357BF">
      <w:pPr>
        <w:pStyle w:val="a5"/>
        <w:spacing w:after="60" w:line="300" w:lineRule="auto"/>
        <w:jc w:val="both"/>
        <w:rPr>
          <w:rFonts w:cstheme="minorHAnsi"/>
          <w:sz w:val="22"/>
          <w:szCs w:val="22"/>
        </w:rPr>
      </w:pPr>
      <w:r w:rsidRPr="000004E8">
        <w:rPr>
          <w:sz w:val="22"/>
          <w:szCs w:val="22"/>
        </w:rPr>
        <w:t xml:space="preserve">7. </w:t>
      </w:r>
      <w:r w:rsidR="0009086F" w:rsidRPr="000004E8">
        <w:rPr>
          <w:sz w:val="22"/>
          <w:szCs w:val="22"/>
        </w:rPr>
        <w:t>Για τους σταθμούς</w:t>
      </w:r>
      <w:r w:rsidRPr="000004E8">
        <w:rPr>
          <w:sz w:val="22"/>
          <w:szCs w:val="22"/>
        </w:rPr>
        <w:t xml:space="preserve"> Α</w:t>
      </w:r>
      <w:r w:rsidR="008747E5" w:rsidRPr="008747E5">
        <w:rPr>
          <w:sz w:val="22"/>
          <w:szCs w:val="22"/>
        </w:rPr>
        <w:t>.</w:t>
      </w:r>
      <w:r w:rsidRPr="000004E8">
        <w:rPr>
          <w:sz w:val="22"/>
          <w:szCs w:val="22"/>
        </w:rPr>
        <w:t>Π</w:t>
      </w:r>
      <w:r w:rsidR="008747E5" w:rsidRPr="008747E5">
        <w:rPr>
          <w:sz w:val="22"/>
          <w:szCs w:val="22"/>
        </w:rPr>
        <w:t>.</w:t>
      </w:r>
      <w:r w:rsidRPr="000004E8">
        <w:rPr>
          <w:sz w:val="22"/>
          <w:szCs w:val="22"/>
        </w:rPr>
        <w:t>Ε</w:t>
      </w:r>
      <w:r w:rsidR="008747E5" w:rsidRPr="008747E5">
        <w:rPr>
          <w:sz w:val="22"/>
          <w:szCs w:val="22"/>
        </w:rPr>
        <w:t>.</w:t>
      </w:r>
      <w:r w:rsidRPr="000004E8">
        <w:rPr>
          <w:sz w:val="22"/>
          <w:szCs w:val="22"/>
        </w:rPr>
        <w:t xml:space="preserve"> και Σ</w:t>
      </w:r>
      <w:r w:rsidR="008747E5" w:rsidRPr="008747E5">
        <w:rPr>
          <w:sz w:val="22"/>
          <w:szCs w:val="22"/>
        </w:rPr>
        <w:t>.</w:t>
      </w:r>
      <w:r w:rsidRPr="000004E8">
        <w:rPr>
          <w:sz w:val="22"/>
          <w:szCs w:val="22"/>
        </w:rPr>
        <w:t>Η</w:t>
      </w:r>
      <w:r w:rsidR="008747E5" w:rsidRPr="008747E5">
        <w:rPr>
          <w:sz w:val="22"/>
          <w:szCs w:val="22"/>
        </w:rPr>
        <w:t>.</w:t>
      </w:r>
      <w:r w:rsidRPr="000004E8">
        <w:rPr>
          <w:sz w:val="22"/>
          <w:szCs w:val="22"/>
        </w:rPr>
        <w:t>Θ</w:t>
      </w:r>
      <w:r w:rsidR="008747E5" w:rsidRPr="008747E5">
        <w:rPr>
          <w:sz w:val="22"/>
          <w:szCs w:val="22"/>
        </w:rPr>
        <w:t>.</w:t>
      </w:r>
      <w:r w:rsidRPr="000004E8">
        <w:rPr>
          <w:sz w:val="22"/>
          <w:szCs w:val="22"/>
        </w:rPr>
        <w:t>Υ</w:t>
      </w:r>
      <w:r w:rsidR="008747E5" w:rsidRPr="008747E5">
        <w:rPr>
          <w:sz w:val="22"/>
          <w:szCs w:val="22"/>
        </w:rPr>
        <w:t>.</w:t>
      </w:r>
      <w:r w:rsidRPr="000004E8">
        <w:rPr>
          <w:sz w:val="22"/>
          <w:szCs w:val="22"/>
        </w:rPr>
        <w:t>Α</w:t>
      </w:r>
      <w:r w:rsidR="008747E5" w:rsidRPr="008747E5">
        <w:rPr>
          <w:sz w:val="22"/>
          <w:szCs w:val="22"/>
        </w:rPr>
        <w:t>.</w:t>
      </w:r>
      <w:r w:rsidRPr="000004E8">
        <w:rPr>
          <w:sz w:val="22"/>
          <w:szCs w:val="22"/>
        </w:rPr>
        <w:t xml:space="preserve"> του άρθρου αυτού δεν </w:t>
      </w:r>
      <w:r w:rsidR="00125C5F" w:rsidRPr="000004E8">
        <w:rPr>
          <w:sz w:val="22"/>
          <w:szCs w:val="22"/>
        </w:rPr>
        <w:t>δ</w:t>
      </w:r>
      <w:r w:rsidR="0009086F" w:rsidRPr="000004E8">
        <w:rPr>
          <w:sz w:val="22"/>
          <w:szCs w:val="22"/>
        </w:rPr>
        <w:t>ύνα</w:t>
      </w:r>
      <w:r w:rsidR="00125C5F" w:rsidRPr="000004E8">
        <w:rPr>
          <w:sz w:val="22"/>
          <w:szCs w:val="22"/>
        </w:rPr>
        <w:t>ται</w:t>
      </w:r>
      <w:r w:rsidR="0009086F" w:rsidRPr="000004E8">
        <w:rPr>
          <w:sz w:val="22"/>
          <w:szCs w:val="22"/>
        </w:rPr>
        <w:t xml:space="preserve"> να συναφθούν συμβάσεις</w:t>
      </w:r>
      <w:r w:rsidR="00125C5F" w:rsidRPr="000004E8">
        <w:rPr>
          <w:sz w:val="22"/>
          <w:szCs w:val="22"/>
        </w:rPr>
        <w:t xml:space="preserve"> </w:t>
      </w:r>
      <w:r w:rsidRPr="000004E8">
        <w:rPr>
          <w:sz w:val="22"/>
          <w:szCs w:val="22"/>
        </w:rPr>
        <w:t>λειτουργική</w:t>
      </w:r>
      <w:r w:rsidR="0009086F" w:rsidRPr="000004E8">
        <w:rPr>
          <w:sz w:val="22"/>
          <w:szCs w:val="22"/>
        </w:rPr>
        <w:t>ς</w:t>
      </w:r>
      <w:r w:rsidRPr="000004E8">
        <w:rPr>
          <w:sz w:val="22"/>
          <w:szCs w:val="22"/>
        </w:rPr>
        <w:t xml:space="preserve"> ενίσχυση</w:t>
      </w:r>
      <w:r w:rsidR="0009086F" w:rsidRPr="000004E8">
        <w:rPr>
          <w:sz w:val="22"/>
          <w:szCs w:val="22"/>
        </w:rPr>
        <w:t>ς του ν. 4414/2016</w:t>
      </w:r>
      <w:r w:rsidR="008B3158">
        <w:rPr>
          <w:sz w:val="22"/>
          <w:szCs w:val="22"/>
        </w:rPr>
        <w:t xml:space="preserve"> (Α’ 149)</w:t>
      </w:r>
      <w:r w:rsidRPr="000004E8">
        <w:rPr>
          <w:sz w:val="22"/>
          <w:szCs w:val="22"/>
        </w:rPr>
        <w:t xml:space="preserve">.  </w:t>
      </w:r>
    </w:p>
    <w:p w14:paraId="6F731D7B" w14:textId="33C43F56" w:rsidR="00BC7223" w:rsidRPr="000004E8" w:rsidRDefault="000D3BBD" w:rsidP="00BC7223">
      <w:pPr>
        <w:spacing w:after="60" w:line="300" w:lineRule="auto"/>
        <w:jc w:val="both"/>
        <w:rPr>
          <w:rFonts w:cstheme="minorHAnsi"/>
        </w:rPr>
      </w:pPr>
      <w:r w:rsidRPr="000004E8">
        <w:rPr>
          <w:rFonts w:eastAsia="Times New Roman" w:cstheme="minorHAnsi"/>
          <w:color w:val="000000"/>
        </w:rPr>
        <w:t>8</w:t>
      </w:r>
      <w:r w:rsidR="00BC7223" w:rsidRPr="008747E5">
        <w:rPr>
          <w:rFonts w:eastAsia="Times New Roman" w:cstheme="minorHAnsi"/>
          <w:color w:val="000000"/>
        </w:rPr>
        <w:t xml:space="preserve">. </w:t>
      </w:r>
      <w:r w:rsidR="00D24E5F" w:rsidRPr="008747E5">
        <w:rPr>
          <w:rFonts w:eastAsia="Times New Roman" w:cstheme="minorHAnsi"/>
          <w:color w:val="000000"/>
        </w:rPr>
        <w:t>Σε δ</w:t>
      </w:r>
      <w:r w:rsidR="00BC7223" w:rsidRPr="008747E5">
        <w:rPr>
          <w:rFonts w:eastAsia="Times New Roman" w:cstheme="minorHAnsi"/>
          <w:color w:val="000000"/>
        </w:rPr>
        <w:t>άση και δασικές εκτάσεις εντός των εξαντλημένων ή υπό εκμετάλλευση ορυχείων λιγνίτη της Δ.Ε.Η. Α.Ε.</w:t>
      </w:r>
      <w:r w:rsidR="00321218" w:rsidRPr="008747E5">
        <w:rPr>
          <w:rFonts w:eastAsia="Times New Roman" w:cstheme="minorHAnsi"/>
          <w:color w:val="000000"/>
        </w:rPr>
        <w:t xml:space="preserve"> </w:t>
      </w:r>
      <w:r w:rsidR="00D24E5F" w:rsidRPr="008747E5">
        <w:rPr>
          <w:rFonts w:eastAsia="Times New Roman" w:cstheme="minorHAnsi"/>
          <w:color w:val="000000"/>
        </w:rPr>
        <w:t xml:space="preserve">είναι επιτρεπτή η επέμβαση για την εγκατάσταση φωτοβολταϊκών σταθμών, μετά από </w:t>
      </w:r>
      <w:r w:rsidR="00C27E4D" w:rsidRPr="008747E5">
        <w:rPr>
          <w:rFonts w:eastAsia="Times New Roman" w:cstheme="minorHAnsi"/>
          <w:color w:val="000000"/>
        </w:rPr>
        <w:t>έγκριση της Διεύθυνσης Δασικών Έργων και Υποδομών του Υπουργείου Περιβάλλοντος και Ενέργειας</w:t>
      </w:r>
      <w:r w:rsidR="002D3A6B" w:rsidRPr="008747E5">
        <w:rPr>
          <w:rFonts w:eastAsia="Times New Roman" w:cstheme="minorHAnsi"/>
          <w:color w:val="000000"/>
        </w:rPr>
        <w:t xml:space="preserve"> κατόπιν εισήγησης της </w:t>
      </w:r>
      <w:r w:rsidR="00EE063E" w:rsidRPr="008747E5">
        <w:rPr>
          <w:rFonts w:eastAsia="Times New Roman" w:cstheme="minorHAnsi"/>
          <w:color w:val="000000"/>
        </w:rPr>
        <w:t xml:space="preserve">κατά τόπον </w:t>
      </w:r>
      <w:r w:rsidR="002D3A6B" w:rsidRPr="008747E5">
        <w:rPr>
          <w:rFonts w:eastAsia="Times New Roman" w:cstheme="minorHAnsi"/>
          <w:color w:val="000000"/>
        </w:rPr>
        <w:t>αρμόδιας δασικής υπηρεσίας</w:t>
      </w:r>
      <w:r w:rsidR="00C27E4D" w:rsidRPr="008747E5">
        <w:rPr>
          <w:rFonts w:eastAsia="Times New Roman" w:cstheme="minorHAnsi"/>
          <w:color w:val="000000"/>
        </w:rPr>
        <w:t xml:space="preserve">, </w:t>
      </w:r>
      <w:r w:rsidR="004D6F23">
        <w:rPr>
          <w:rFonts w:eastAsia="Times New Roman" w:cstheme="minorHAnsi"/>
          <w:color w:val="000000"/>
        </w:rPr>
        <w:t>εφόσον δεν</w:t>
      </w:r>
      <w:r w:rsidR="00C27E4D" w:rsidRPr="008747E5">
        <w:rPr>
          <w:rFonts w:eastAsia="Times New Roman" w:cstheme="minorHAnsi"/>
          <w:color w:val="000000"/>
        </w:rPr>
        <w:t xml:space="preserve"> είναι εφικτή η αναδάσωση των εκτάσεων αυτών. </w:t>
      </w:r>
      <w:r w:rsidR="00D24E5F" w:rsidRPr="008747E5">
        <w:rPr>
          <w:rFonts w:eastAsia="Times New Roman" w:cstheme="minorHAnsi"/>
          <w:color w:val="000000"/>
        </w:rPr>
        <w:t xml:space="preserve"> </w:t>
      </w:r>
    </w:p>
    <w:p w14:paraId="4AFF676F" w14:textId="0ABEA422" w:rsidR="00BC7223" w:rsidRPr="008747E5" w:rsidRDefault="00BC7223" w:rsidP="008747E5">
      <w:pPr>
        <w:spacing w:after="60" w:line="300" w:lineRule="auto"/>
        <w:jc w:val="both"/>
        <w:rPr>
          <w:rFonts w:cstheme="minorHAnsi"/>
        </w:rPr>
      </w:pPr>
      <w:r w:rsidRPr="000004E8">
        <w:rPr>
          <w:rFonts w:eastAsia="Times New Roman" w:cstheme="minorHAnsi"/>
          <w:color w:val="000000"/>
        </w:rPr>
        <w:t>Στην προγραμματική σύμβαση του παρόντος μεταξύ του Υπουργού Περιβάλλοντος και Ενέργειας και της Δ</w:t>
      </w:r>
      <w:r w:rsidR="00990979" w:rsidRPr="000004E8">
        <w:rPr>
          <w:rFonts w:eastAsia="Times New Roman" w:cstheme="minorHAnsi"/>
          <w:color w:val="000000"/>
        </w:rPr>
        <w:t>.</w:t>
      </w:r>
      <w:r w:rsidRPr="000004E8">
        <w:rPr>
          <w:rFonts w:eastAsia="Times New Roman" w:cstheme="minorHAnsi"/>
          <w:color w:val="000000"/>
        </w:rPr>
        <w:t>Ε</w:t>
      </w:r>
      <w:r w:rsidR="00990979" w:rsidRPr="000004E8">
        <w:rPr>
          <w:rFonts w:eastAsia="Times New Roman" w:cstheme="minorHAnsi"/>
          <w:color w:val="000000"/>
        </w:rPr>
        <w:t>.</w:t>
      </w:r>
      <w:r w:rsidRPr="000004E8">
        <w:rPr>
          <w:rFonts w:eastAsia="Times New Roman" w:cstheme="minorHAnsi"/>
          <w:color w:val="000000"/>
        </w:rPr>
        <w:t>Η</w:t>
      </w:r>
      <w:r w:rsidR="00990979" w:rsidRPr="000004E8">
        <w:rPr>
          <w:rFonts w:eastAsia="Times New Roman" w:cstheme="minorHAnsi"/>
          <w:color w:val="000000"/>
        </w:rPr>
        <w:t>.</w:t>
      </w:r>
      <w:r w:rsidRPr="000004E8">
        <w:rPr>
          <w:rFonts w:eastAsia="Times New Roman" w:cstheme="minorHAnsi"/>
          <w:color w:val="000000"/>
        </w:rPr>
        <w:t xml:space="preserve"> Α</w:t>
      </w:r>
      <w:r w:rsidR="00990979" w:rsidRPr="000004E8">
        <w:rPr>
          <w:rFonts w:eastAsia="Times New Roman" w:cstheme="minorHAnsi"/>
          <w:color w:val="000000"/>
        </w:rPr>
        <w:t>.</w:t>
      </w:r>
      <w:r w:rsidRPr="000004E8">
        <w:rPr>
          <w:rFonts w:eastAsia="Times New Roman" w:cstheme="minorHAnsi"/>
          <w:color w:val="000000"/>
        </w:rPr>
        <w:t>Ε</w:t>
      </w:r>
      <w:r w:rsidR="00990979" w:rsidRPr="000004E8">
        <w:rPr>
          <w:rFonts w:eastAsia="Times New Roman" w:cstheme="minorHAnsi"/>
          <w:color w:val="000000"/>
        </w:rPr>
        <w:t>.</w:t>
      </w:r>
      <w:r w:rsidRPr="000004E8">
        <w:rPr>
          <w:rFonts w:eastAsia="Times New Roman" w:cstheme="minorHAnsi"/>
          <w:color w:val="000000"/>
        </w:rPr>
        <w:t xml:space="preserve"> προβλέπεται ως υποχρέωση η δημιουργία νέων δασών συνολικής έκτασης μεγαλύτερης κατά </w:t>
      </w:r>
      <w:r w:rsidR="00990979" w:rsidRPr="000004E8">
        <w:rPr>
          <w:rFonts w:eastAsia="Times New Roman" w:cstheme="minorHAnsi"/>
          <w:color w:val="000000"/>
        </w:rPr>
        <w:t xml:space="preserve">ποσοστό </w:t>
      </w:r>
      <w:r w:rsidR="00896C01" w:rsidRPr="000004E8">
        <w:rPr>
          <w:rFonts w:eastAsia="Times New Roman" w:cstheme="minorHAnsi"/>
          <w:color w:val="000000"/>
        </w:rPr>
        <w:t>δέκα τοις εκατό (</w:t>
      </w:r>
      <w:r w:rsidRPr="000004E8">
        <w:rPr>
          <w:rFonts w:eastAsia="Times New Roman" w:cstheme="minorHAnsi"/>
          <w:color w:val="000000"/>
        </w:rPr>
        <w:t>10%</w:t>
      </w:r>
      <w:r w:rsidR="00896C01" w:rsidRPr="000004E8">
        <w:rPr>
          <w:rFonts w:eastAsia="Times New Roman" w:cstheme="minorHAnsi"/>
          <w:color w:val="000000"/>
        </w:rPr>
        <w:t>)</w:t>
      </w:r>
      <w:r w:rsidRPr="000004E8">
        <w:rPr>
          <w:rFonts w:eastAsia="Times New Roman" w:cstheme="minorHAnsi"/>
          <w:color w:val="000000"/>
        </w:rPr>
        <w:t xml:space="preserve"> από τις εκτάσεις του προηγούμενου εδαφίου κατά προτεραιότητα εντός των περιοχών των εξαντλημένων ή υπό εκμετάλλευση ορυχείων, </w:t>
      </w:r>
      <w:r w:rsidR="00D20A53" w:rsidRPr="000004E8">
        <w:rPr>
          <w:rFonts w:eastAsia="Times New Roman" w:cstheme="minorHAnsi"/>
          <w:color w:val="000000"/>
        </w:rPr>
        <w:t xml:space="preserve">καθώς και οι σχετικές προδιαγραφές </w:t>
      </w:r>
      <w:r w:rsidR="00D20A53" w:rsidRPr="000004E8">
        <w:rPr>
          <w:rFonts w:eastAsia="Times New Roman" w:cstheme="minorHAnsi"/>
          <w:color w:val="000000"/>
        </w:rPr>
        <w:lastRenderedPageBreak/>
        <w:t xml:space="preserve">και κάθε αναγκαίο θέμα για την εφαρμογή της δάσωσης. Το σύνολο των σχετικών φυτεύσεων ολοκληρώνεται εντός τριών (3) ετών </w:t>
      </w:r>
      <w:r w:rsidRPr="000004E8">
        <w:rPr>
          <w:rFonts w:eastAsia="Times New Roman" w:cstheme="minorHAnsi"/>
          <w:color w:val="000000"/>
        </w:rPr>
        <w:t>από την έναρξη της ισχύος του παρόντος.</w:t>
      </w:r>
    </w:p>
    <w:p w14:paraId="04A5557C" w14:textId="77777777" w:rsidR="009B65A0" w:rsidRPr="000004E8" w:rsidRDefault="007A09F3" w:rsidP="00F357BF">
      <w:pPr>
        <w:spacing w:after="120" w:line="300" w:lineRule="auto"/>
        <w:jc w:val="center"/>
        <w:rPr>
          <w:rFonts w:cstheme="minorHAnsi"/>
          <w:b/>
        </w:rPr>
      </w:pPr>
      <w:r w:rsidRPr="000004E8">
        <w:rPr>
          <w:rFonts w:cstheme="minorHAnsi"/>
          <w:b/>
        </w:rPr>
        <w:t>Άρθρο</w:t>
      </w:r>
      <w:r w:rsidR="00143712" w:rsidRPr="000004E8">
        <w:rPr>
          <w:rFonts w:cstheme="minorHAnsi"/>
          <w:b/>
        </w:rPr>
        <w:t xml:space="preserve"> 3</w:t>
      </w:r>
    </w:p>
    <w:p w14:paraId="55CD29D2" w14:textId="4EAB5051" w:rsidR="009B65A0" w:rsidRPr="000004E8" w:rsidRDefault="009B65A0" w:rsidP="00F357BF">
      <w:pPr>
        <w:spacing w:after="120" w:line="300" w:lineRule="auto"/>
        <w:jc w:val="center"/>
        <w:rPr>
          <w:rFonts w:cstheme="minorHAnsi"/>
          <w:b/>
        </w:rPr>
      </w:pPr>
      <w:r w:rsidRPr="000004E8">
        <w:rPr>
          <w:rFonts w:cstheme="minorHAnsi"/>
          <w:b/>
        </w:rPr>
        <w:t>Επιβολή έκτακτης εισφοράς σε έργα Α</w:t>
      </w:r>
      <w:r w:rsidR="00990979" w:rsidRPr="000004E8">
        <w:rPr>
          <w:rFonts w:cstheme="minorHAnsi"/>
          <w:b/>
        </w:rPr>
        <w:t>.</w:t>
      </w:r>
      <w:r w:rsidRPr="000004E8">
        <w:rPr>
          <w:rFonts w:cstheme="minorHAnsi"/>
          <w:b/>
        </w:rPr>
        <w:t>Π</w:t>
      </w:r>
      <w:r w:rsidR="00990979" w:rsidRPr="000004E8">
        <w:rPr>
          <w:rFonts w:cstheme="minorHAnsi"/>
          <w:b/>
        </w:rPr>
        <w:t>.</w:t>
      </w:r>
      <w:r w:rsidRPr="000004E8">
        <w:rPr>
          <w:rFonts w:cstheme="minorHAnsi"/>
          <w:b/>
        </w:rPr>
        <w:t>Ε</w:t>
      </w:r>
      <w:r w:rsidR="00990979" w:rsidRPr="000004E8">
        <w:rPr>
          <w:rFonts w:cstheme="minorHAnsi"/>
          <w:b/>
        </w:rPr>
        <w:t>.</w:t>
      </w:r>
      <w:r w:rsidRPr="000004E8">
        <w:rPr>
          <w:rFonts w:cstheme="minorHAnsi"/>
          <w:b/>
        </w:rPr>
        <w:t xml:space="preserve"> και Σ</w:t>
      </w:r>
      <w:r w:rsidR="00990979" w:rsidRPr="000004E8">
        <w:rPr>
          <w:rFonts w:cstheme="minorHAnsi"/>
          <w:b/>
        </w:rPr>
        <w:t>.</w:t>
      </w:r>
      <w:r w:rsidRPr="000004E8">
        <w:rPr>
          <w:rFonts w:cstheme="minorHAnsi"/>
          <w:b/>
        </w:rPr>
        <w:t>Η</w:t>
      </w:r>
      <w:r w:rsidR="00990979" w:rsidRPr="000004E8">
        <w:rPr>
          <w:rFonts w:cstheme="minorHAnsi"/>
          <w:b/>
        </w:rPr>
        <w:t>.</w:t>
      </w:r>
      <w:r w:rsidRPr="000004E8">
        <w:rPr>
          <w:rFonts w:cstheme="minorHAnsi"/>
          <w:b/>
        </w:rPr>
        <w:t>Θ</w:t>
      </w:r>
      <w:r w:rsidR="00990979" w:rsidRPr="000004E8">
        <w:rPr>
          <w:rFonts w:cstheme="minorHAnsi"/>
          <w:b/>
        </w:rPr>
        <w:t>.</w:t>
      </w:r>
      <w:r w:rsidRPr="000004E8">
        <w:rPr>
          <w:rFonts w:cstheme="minorHAnsi"/>
          <w:b/>
        </w:rPr>
        <w:t>Υ</w:t>
      </w:r>
      <w:r w:rsidR="00990979" w:rsidRPr="000004E8">
        <w:rPr>
          <w:rFonts w:cstheme="minorHAnsi"/>
          <w:b/>
        </w:rPr>
        <w:t>.</w:t>
      </w:r>
      <w:r w:rsidRPr="000004E8">
        <w:rPr>
          <w:rFonts w:cstheme="minorHAnsi"/>
          <w:b/>
        </w:rPr>
        <w:t>Α</w:t>
      </w:r>
      <w:r w:rsidR="00990979" w:rsidRPr="000004E8">
        <w:rPr>
          <w:rFonts w:cstheme="minorHAnsi"/>
          <w:b/>
        </w:rPr>
        <w:t>.</w:t>
      </w:r>
      <w:r w:rsidRPr="000004E8">
        <w:rPr>
          <w:rFonts w:cstheme="minorHAnsi"/>
          <w:b/>
        </w:rPr>
        <w:t xml:space="preserve"> – </w:t>
      </w:r>
      <w:r w:rsidR="00D82C7D" w:rsidRPr="000004E8">
        <w:rPr>
          <w:rFonts w:cstheme="minorHAnsi"/>
          <w:b/>
        </w:rPr>
        <w:t>Χρέωση</w:t>
      </w:r>
      <w:r w:rsidRPr="000004E8">
        <w:rPr>
          <w:rFonts w:cstheme="minorHAnsi"/>
          <w:b/>
        </w:rPr>
        <w:t xml:space="preserve"> </w:t>
      </w:r>
      <w:r w:rsidR="00CE146B" w:rsidRPr="000004E8">
        <w:rPr>
          <w:rFonts w:cstheme="minorHAnsi"/>
          <w:b/>
        </w:rPr>
        <w:t>εκπροσώπων φορτίου</w:t>
      </w:r>
      <w:r w:rsidRPr="000004E8">
        <w:rPr>
          <w:rFonts w:cstheme="minorHAnsi"/>
          <w:b/>
        </w:rPr>
        <w:t xml:space="preserve"> ηλεκτρικής ενέργειας – Τροποποίηση άρθρου 143 του ν. 4001/2011</w:t>
      </w:r>
    </w:p>
    <w:p w14:paraId="3ACA4AD6" w14:textId="7FA89998" w:rsidR="009B65A0" w:rsidRPr="000004E8" w:rsidRDefault="008C279F" w:rsidP="008C279F">
      <w:pPr>
        <w:pStyle w:val="a3"/>
        <w:numPr>
          <w:ilvl w:val="0"/>
          <w:numId w:val="5"/>
        </w:numPr>
        <w:spacing w:after="60" w:line="300" w:lineRule="auto"/>
        <w:contextualSpacing w:val="0"/>
        <w:jc w:val="both"/>
        <w:rPr>
          <w:rFonts w:cs="Calibri"/>
          <w:bCs/>
        </w:rPr>
      </w:pPr>
      <w:r w:rsidRPr="000004E8">
        <w:rPr>
          <w:rFonts w:cs="Calibri"/>
          <w:bCs/>
          <w:color w:val="000000"/>
        </w:rPr>
        <w:t xml:space="preserve">α) </w:t>
      </w:r>
      <w:r w:rsidR="009B65A0" w:rsidRPr="000004E8">
        <w:rPr>
          <w:rFonts w:cs="Calibri"/>
          <w:bCs/>
          <w:color w:val="000000"/>
        </w:rPr>
        <w:t xml:space="preserve">Επιβάλλεται </w:t>
      </w:r>
      <w:r w:rsidR="00AD600E" w:rsidRPr="000004E8">
        <w:rPr>
          <w:rFonts w:cs="Calibri"/>
          <w:bCs/>
          <w:color w:val="000000"/>
        </w:rPr>
        <w:t xml:space="preserve">άπαξ </w:t>
      </w:r>
      <w:r w:rsidR="009B65A0" w:rsidRPr="000004E8">
        <w:rPr>
          <w:rFonts w:cs="Calibri"/>
          <w:bCs/>
          <w:color w:val="000000"/>
        </w:rPr>
        <w:t xml:space="preserve">έκτακτη εισφορά </w:t>
      </w:r>
      <w:r w:rsidR="009B65A0" w:rsidRPr="000004E8">
        <w:rPr>
          <w:rFonts w:cs="Calibri"/>
          <w:bCs/>
        </w:rPr>
        <w:t xml:space="preserve">στους παραγωγούς ηλεκτρικής ενέργειας </w:t>
      </w:r>
      <w:r w:rsidR="009B65A0" w:rsidRPr="000004E8">
        <w:rPr>
          <w:rFonts w:cs="Calibri"/>
          <w:bCs/>
          <w:color w:val="000000"/>
        </w:rPr>
        <w:t xml:space="preserve">από σταθμούς </w:t>
      </w:r>
      <w:r w:rsidR="00896C01" w:rsidRPr="000004E8">
        <w:rPr>
          <w:rFonts w:cstheme="minorHAnsi"/>
        </w:rPr>
        <w:t>Ανανεώσιμων Πηγών Ενέργειας (Α.Π.Ε.) και Συμπαραγωγής Ηλεκτρισμού – Θερμότητας Υψηλής Απόδοσης (Σ.Η.Θ.Υ.Α.)</w:t>
      </w:r>
      <w:r w:rsidR="009B65A0" w:rsidRPr="000004E8">
        <w:rPr>
          <w:rFonts w:cs="Calibri"/>
          <w:bCs/>
          <w:color w:val="000000"/>
        </w:rPr>
        <w:t xml:space="preserve">, </w:t>
      </w:r>
      <w:r w:rsidR="009B65A0" w:rsidRPr="008747E5">
        <w:rPr>
          <w:rFonts w:cs="Calibri"/>
          <w:bCs/>
          <w:color w:val="000000"/>
        </w:rPr>
        <w:t>οι οποίοι έχουν τεθεί σε λειτουργία έως και την 31</w:t>
      </w:r>
      <w:r w:rsidR="009B65A0" w:rsidRPr="008747E5">
        <w:rPr>
          <w:rFonts w:cs="Calibri"/>
          <w:bCs/>
          <w:color w:val="000000"/>
          <w:vertAlign w:val="superscript"/>
        </w:rPr>
        <w:t>η</w:t>
      </w:r>
      <w:r w:rsidR="009B65A0" w:rsidRPr="008747E5">
        <w:rPr>
          <w:rFonts w:cs="Calibri"/>
          <w:bCs/>
          <w:color w:val="000000"/>
        </w:rPr>
        <w:t xml:space="preserve"> Δεκεμβρίου 2015</w:t>
      </w:r>
      <w:r w:rsidR="009B65A0" w:rsidRPr="000004E8">
        <w:rPr>
          <w:rFonts w:cs="Calibri"/>
          <w:bCs/>
          <w:color w:val="000000"/>
        </w:rPr>
        <w:t xml:space="preserve">. Η έκτακτη εισφορά υπολογίζεται ως εκατοστιαίο ποσοστό επί του, προ Φ.Π.Α., τιμήματος πώλησης ηλεκτρικής ενέργειας, που εγχέεται από τον </w:t>
      </w:r>
      <w:r w:rsidR="00990979" w:rsidRPr="000004E8">
        <w:rPr>
          <w:rFonts w:cs="Calibri"/>
          <w:bCs/>
          <w:color w:val="000000"/>
        </w:rPr>
        <w:t>π</w:t>
      </w:r>
      <w:r w:rsidR="009B65A0" w:rsidRPr="000004E8">
        <w:rPr>
          <w:rFonts w:cs="Calibri"/>
          <w:bCs/>
          <w:color w:val="000000"/>
        </w:rPr>
        <w:t xml:space="preserve">αραγωγό στο </w:t>
      </w:r>
      <w:r w:rsidR="00990979" w:rsidRPr="000004E8">
        <w:rPr>
          <w:rFonts w:cs="Calibri"/>
          <w:bCs/>
          <w:color w:val="000000"/>
        </w:rPr>
        <w:t>σ</w:t>
      </w:r>
      <w:r w:rsidR="009B65A0" w:rsidRPr="000004E8">
        <w:rPr>
          <w:rFonts w:cs="Calibri"/>
          <w:bCs/>
          <w:color w:val="000000"/>
        </w:rPr>
        <w:t xml:space="preserve">ύστημα ή το </w:t>
      </w:r>
      <w:r w:rsidR="00990979" w:rsidRPr="000004E8">
        <w:rPr>
          <w:rFonts w:cs="Calibri"/>
          <w:bCs/>
          <w:color w:val="000000"/>
        </w:rPr>
        <w:t>δ</w:t>
      </w:r>
      <w:r w:rsidR="009B65A0" w:rsidRPr="000004E8">
        <w:rPr>
          <w:rFonts w:cs="Calibri"/>
          <w:bCs/>
          <w:color w:val="000000"/>
        </w:rPr>
        <w:t xml:space="preserve">ιασυνδεδεμένο </w:t>
      </w:r>
      <w:r w:rsidR="00990979" w:rsidRPr="000004E8">
        <w:rPr>
          <w:rFonts w:cs="Calibri"/>
          <w:bCs/>
          <w:color w:val="000000"/>
        </w:rPr>
        <w:t>δ</w:t>
      </w:r>
      <w:r w:rsidR="009B65A0" w:rsidRPr="000004E8">
        <w:rPr>
          <w:rFonts w:cs="Calibri"/>
          <w:bCs/>
          <w:color w:val="000000"/>
        </w:rPr>
        <w:t xml:space="preserve">ίκτυο ή στα ηλεκτρικά συστήματα των </w:t>
      </w:r>
      <w:r w:rsidR="0070795B" w:rsidRPr="000004E8">
        <w:rPr>
          <w:rFonts w:cs="Calibri"/>
          <w:bCs/>
          <w:color w:val="000000"/>
        </w:rPr>
        <w:t>Μ</w:t>
      </w:r>
      <w:r w:rsidR="009B65A0" w:rsidRPr="000004E8">
        <w:rPr>
          <w:rFonts w:cs="Calibri"/>
          <w:bCs/>
          <w:color w:val="000000"/>
        </w:rPr>
        <w:t xml:space="preserve">η </w:t>
      </w:r>
      <w:r w:rsidR="0070795B" w:rsidRPr="000004E8">
        <w:rPr>
          <w:rFonts w:cs="Calibri"/>
          <w:bCs/>
          <w:color w:val="000000"/>
        </w:rPr>
        <w:t>Δ</w:t>
      </w:r>
      <w:r w:rsidR="009B65A0" w:rsidRPr="000004E8">
        <w:rPr>
          <w:rFonts w:cs="Calibri"/>
          <w:bCs/>
          <w:color w:val="000000"/>
        </w:rPr>
        <w:t xml:space="preserve">ιασυνδεδεμένων </w:t>
      </w:r>
      <w:r w:rsidR="0070795B" w:rsidRPr="000004E8">
        <w:rPr>
          <w:rFonts w:cs="Calibri"/>
          <w:bCs/>
          <w:color w:val="000000"/>
        </w:rPr>
        <w:t>Ν</w:t>
      </w:r>
      <w:r w:rsidR="009B65A0" w:rsidRPr="000004E8">
        <w:rPr>
          <w:rFonts w:cs="Calibri"/>
          <w:bCs/>
          <w:color w:val="000000"/>
        </w:rPr>
        <w:t>ησιών</w:t>
      </w:r>
      <w:r w:rsidR="005F1028" w:rsidRPr="000004E8">
        <w:rPr>
          <w:rFonts w:cs="Calibri"/>
          <w:bCs/>
          <w:color w:val="000000"/>
        </w:rPr>
        <w:t xml:space="preserve"> (Μ.Δ.Ν.)</w:t>
      </w:r>
      <w:r w:rsidR="009B65A0" w:rsidRPr="000004E8">
        <w:rPr>
          <w:rFonts w:cs="Calibri"/>
          <w:bCs/>
          <w:color w:val="000000"/>
        </w:rPr>
        <w:t xml:space="preserve">, για τις πωλήσεις ηλεκτρικής ενέργειας που λαμβάνουν χώρα κατά το χρονικό διάστημα από 1.1.2020 έως 31.12.2020 </w:t>
      </w:r>
      <w:r w:rsidR="00F74F15" w:rsidRPr="000004E8">
        <w:rPr>
          <w:rFonts w:cs="Calibri"/>
          <w:color w:val="000000"/>
        </w:rPr>
        <w:t xml:space="preserve">ή τιμολογούνται στις μηνιαίες εκκαθαρίσεις του έτους 2020 </w:t>
      </w:r>
      <w:r w:rsidR="009B65A0" w:rsidRPr="000004E8">
        <w:rPr>
          <w:rFonts w:cs="Calibri"/>
          <w:bCs/>
          <w:color w:val="000000"/>
        </w:rPr>
        <w:t xml:space="preserve">και ανέρχεται σε ποσοστό έξι τοις εκατό (6%) για όλες τις κατηγορίες </w:t>
      </w:r>
      <w:r w:rsidR="00EA597C" w:rsidRPr="000004E8">
        <w:rPr>
          <w:rFonts w:cs="Calibri"/>
          <w:bCs/>
          <w:color w:val="000000"/>
        </w:rPr>
        <w:t>π</w:t>
      </w:r>
      <w:r w:rsidR="009B65A0" w:rsidRPr="000004E8">
        <w:rPr>
          <w:rFonts w:cs="Calibri"/>
          <w:bCs/>
          <w:color w:val="000000"/>
        </w:rPr>
        <w:t>αραγωγών.</w:t>
      </w:r>
    </w:p>
    <w:p w14:paraId="7DA5BCA5" w14:textId="263CD124" w:rsidR="009B65A0" w:rsidRPr="000004E8" w:rsidRDefault="008C279F" w:rsidP="008C279F">
      <w:pPr>
        <w:pStyle w:val="a3"/>
        <w:spacing w:after="60" w:line="300" w:lineRule="auto"/>
        <w:contextualSpacing w:val="0"/>
        <w:jc w:val="both"/>
        <w:rPr>
          <w:rFonts w:cs="Calibri"/>
          <w:bCs/>
          <w:color w:val="000000"/>
        </w:rPr>
      </w:pPr>
      <w:r w:rsidRPr="000004E8">
        <w:rPr>
          <w:rFonts w:cs="Calibri"/>
          <w:bCs/>
          <w:color w:val="000000"/>
        </w:rPr>
        <w:t xml:space="preserve">β) </w:t>
      </w:r>
      <w:r w:rsidR="009B65A0" w:rsidRPr="000004E8">
        <w:rPr>
          <w:rFonts w:cs="Calibri"/>
          <w:bCs/>
          <w:color w:val="000000"/>
        </w:rPr>
        <w:t>Τα ποσά που αντιστοιχούν στην έκτακτη εισφορά του παρόντος άρθρου υπολογίζονται και παρακρατούνται από τη</w:t>
      </w:r>
      <w:r w:rsidR="0070795B" w:rsidRPr="000004E8">
        <w:rPr>
          <w:rFonts w:cs="Calibri"/>
          <w:bCs/>
          <w:color w:val="000000"/>
        </w:rPr>
        <w:t>ν Ανώνυμη Εταιρεία με την  επωνυμία Διαχειριστής Ανανεώσιμων Πηγών Ενέργειας και Εγγυήσεων Προέλευσης</w:t>
      </w:r>
      <w:r w:rsidR="009B65A0" w:rsidRPr="000004E8">
        <w:rPr>
          <w:rFonts w:cs="Calibri"/>
          <w:bCs/>
          <w:color w:val="000000"/>
        </w:rPr>
        <w:t xml:space="preserve"> </w:t>
      </w:r>
      <w:r w:rsidR="0070795B" w:rsidRPr="000004E8">
        <w:rPr>
          <w:rFonts w:cs="Calibri"/>
          <w:bCs/>
          <w:color w:val="000000"/>
        </w:rPr>
        <w:t>(</w:t>
      </w:r>
      <w:r w:rsidR="009B65A0" w:rsidRPr="000004E8">
        <w:rPr>
          <w:rFonts w:cs="Calibri"/>
          <w:bCs/>
          <w:color w:val="000000"/>
        </w:rPr>
        <w:t>Δ.Α.Π.Ε.Ε.Π. Α.Ε.</w:t>
      </w:r>
      <w:r w:rsidR="0070795B" w:rsidRPr="000004E8">
        <w:rPr>
          <w:rFonts w:cs="Calibri"/>
          <w:bCs/>
          <w:color w:val="000000"/>
        </w:rPr>
        <w:t>)</w:t>
      </w:r>
      <w:r w:rsidR="009B65A0" w:rsidRPr="000004E8">
        <w:rPr>
          <w:rFonts w:cs="Calibri"/>
          <w:bCs/>
          <w:color w:val="000000"/>
        </w:rPr>
        <w:t xml:space="preserve"> και, για την περίπτωση των </w:t>
      </w:r>
      <w:r w:rsidR="0070795B" w:rsidRPr="000004E8">
        <w:rPr>
          <w:rFonts w:cs="Calibri"/>
          <w:bCs/>
          <w:color w:val="000000"/>
        </w:rPr>
        <w:t>Μ.Δ.Ν.</w:t>
      </w:r>
      <w:r w:rsidR="009B65A0" w:rsidRPr="000004E8">
        <w:rPr>
          <w:rFonts w:cs="Calibri"/>
          <w:bCs/>
          <w:color w:val="000000"/>
        </w:rPr>
        <w:t>, από τη</w:t>
      </w:r>
      <w:r w:rsidR="0070795B" w:rsidRPr="000004E8">
        <w:rPr>
          <w:rFonts w:cs="Calibri"/>
          <w:bCs/>
          <w:color w:val="000000"/>
        </w:rPr>
        <w:t>ν Ανώνυμη Εταιρεία με την Επωνυμία Διαχειριστής Ελληνικού Δικτύου Διανομής Ηλεκτρικής Ενέργειας</w:t>
      </w:r>
      <w:r w:rsidR="009B65A0" w:rsidRPr="000004E8">
        <w:rPr>
          <w:rFonts w:cs="Calibri"/>
          <w:bCs/>
          <w:color w:val="000000"/>
        </w:rPr>
        <w:t xml:space="preserve"> </w:t>
      </w:r>
      <w:r w:rsidR="0070795B" w:rsidRPr="000004E8">
        <w:rPr>
          <w:rFonts w:cs="Calibri"/>
          <w:bCs/>
          <w:color w:val="000000"/>
        </w:rPr>
        <w:t>(</w:t>
      </w:r>
      <w:r w:rsidR="009B65A0" w:rsidRPr="000004E8">
        <w:rPr>
          <w:rFonts w:cs="Calibri"/>
          <w:bCs/>
          <w:color w:val="000000"/>
        </w:rPr>
        <w:t>Δ.Ε.Δ.Δ.Η.Ε. Α.Ε.</w:t>
      </w:r>
      <w:r w:rsidR="0070795B" w:rsidRPr="000004E8">
        <w:rPr>
          <w:rFonts w:cs="Calibri"/>
          <w:bCs/>
          <w:color w:val="000000"/>
        </w:rPr>
        <w:t>)</w:t>
      </w:r>
      <w:r w:rsidR="009B65A0" w:rsidRPr="000004E8">
        <w:rPr>
          <w:rFonts w:cs="Calibri"/>
          <w:bCs/>
          <w:color w:val="000000"/>
        </w:rPr>
        <w:t xml:space="preserve"> ως </w:t>
      </w:r>
      <w:r w:rsidR="00EA597C" w:rsidRPr="000004E8">
        <w:rPr>
          <w:rFonts w:cs="Calibri"/>
          <w:bCs/>
          <w:color w:val="000000"/>
        </w:rPr>
        <w:t>δ</w:t>
      </w:r>
      <w:r w:rsidR="009B65A0" w:rsidRPr="000004E8">
        <w:rPr>
          <w:rFonts w:cs="Calibri"/>
          <w:bCs/>
          <w:color w:val="000000"/>
        </w:rPr>
        <w:t xml:space="preserve">ιαχειριστή </w:t>
      </w:r>
      <w:r w:rsidR="0070795B" w:rsidRPr="000004E8">
        <w:rPr>
          <w:rFonts w:cs="Calibri"/>
          <w:bCs/>
          <w:color w:val="000000"/>
        </w:rPr>
        <w:t xml:space="preserve">των </w:t>
      </w:r>
      <w:r w:rsidR="009B65A0" w:rsidRPr="000004E8">
        <w:rPr>
          <w:rFonts w:cs="Calibri"/>
          <w:bCs/>
          <w:color w:val="000000"/>
        </w:rPr>
        <w:t>Μ.Δ.Ν., και αποτελούν</w:t>
      </w:r>
      <w:r w:rsidR="0070795B" w:rsidRPr="000004E8">
        <w:rPr>
          <w:rFonts w:cs="Calibri"/>
          <w:bCs/>
          <w:color w:val="000000"/>
        </w:rPr>
        <w:t xml:space="preserve"> </w:t>
      </w:r>
      <w:r w:rsidR="00EC7D01" w:rsidRPr="000004E8">
        <w:rPr>
          <w:rFonts w:cstheme="minorHAnsi"/>
        </w:rPr>
        <w:t xml:space="preserve">έσοδο </w:t>
      </w:r>
      <w:r w:rsidR="0070795B" w:rsidRPr="000004E8">
        <w:rPr>
          <w:rFonts w:cstheme="minorHAnsi"/>
        </w:rPr>
        <w:t xml:space="preserve">ή </w:t>
      </w:r>
      <w:r w:rsidR="00EC7D01" w:rsidRPr="000004E8">
        <w:rPr>
          <w:rFonts w:cstheme="minorHAnsi"/>
        </w:rPr>
        <w:t xml:space="preserve">του Υπολογαριασμού Ενισχύσεων του Ειδικού Λογαριασμού Α.Π.Ε. και Σ.Η.Θ.Υ.Α. Διασυνδεδεμένου Συστήματος και Δικτύου </w:t>
      </w:r>
      <w:r w:rsidR="0070795B" w:rsidRPr="000004E8">
        <w:rPr>
          <w:rFonts w:cstheme="minorHAnsi"/>
        </w:rPr>
        <w:t>ή</w:t>
      </w:r>
      <w:r w:rsidR="00EC7D01" w:rsidRPr="000004E8">
        <w:rPr>
          <w:rFonts w:cstheme="minorHAnsi"/>
        </w:rPr>
        <w:t xml:space="preserve"> του Υπολογαριασμού Ενισχύσεων του Ειδικού Λογαριασμού Ενέργειας Α.Π.Ε. και Σ.Η.</w:t>
      </w:r>
      <w:r w:rsidR="00BC382D">
        <w:rPr>
          <w:rFonts w:cstheme="minorHAnsi"/>
        </w:rPr>
        <w:t xml:space="preserve">Θ.Υ.Α. Μη </w:t>
      </w:r>
      <w:r w:rsidR="00EC7D01" w:rsidRPr="000004E8">
        <w:rPr>
          <w:rFonts w:cstheme="minorHAnsi"/>
        </w:rPr>
        <w:t>Διασυνδεδεμένων Νησιών</w:t>
      </w:r>
      <w:r w:rsidR="009B65A0" w:rsidRPr="000004E8">
        <w:rPr>
          <w:rFonts w:cs="Calibri"/>
          <w:bCs/>
        </w:rPr>
        <w:t xml:space="preserve">. </w:t>
      </w:r>
    </w:p>
    <w:p w14:paraId="5A42FC07" w14:textId="77777777" w:rsidR="009B65A0" w:rsidRPr="000004E8" w:rsidRDefault="009B65A0" w:rsidP="00F357BF">
      <w:pPr>
        <w:pStyle w:val="a3"/>
        <w:spacing w:after="60" w:line="300" w:lineRule="auto"/>
        <w:jc w:val="both"/>
        <w:rPr>
          <w:rFonts w:cs="Calibri"/>
          <w:bCs/>
          <w:color w:val="000000"/>
        </w:rPr>
      </w:pPr>
      <w:r w:rsidRPr="000004E8">
        <w:rPr>
          <w:rFonts w:cs="Calibri"/>
          <w:bCs/>
          <w:color w:val="000000"/>
        </w:rPr>
        <w:t>Συγκεκριμένα:</w:t>
      </w:r>
    </w:p>
    <w:p w14:paraId="56CB7C92" w14:textId="2C396EF5" w:rsidR="009B65A0" w:rsidRPr="000004E8" w:rsidRDefault="008C279F" w:rsidP="008C279F">
      <w:pPr>
        <w:pStyle w:val="a3"/>
        <w:spacing w:after="60" w:line="300" w:lineRule="auto"/>
        <w:ind w:firstLine="720"/>
        <w:jc w:val="both"/>
        <w:rPr>
          <w:rFonts w:cs="Calibri"/>
          <w:bCs/>
          <w:color w:val="000000"/>
        </w:rPr>
      </w:pPr>
      <w:r w:rsidRPr="000004E8">
        <w:rPr>
          <w:rFonts w:eastAsia="Times New Roman" w:cs="Calibri"/>
          <w:bCs/>
          <w:color w:val="000000"/>
          <w:lang w:eastAsia="el-GR"/>
        </w:rPr>
        <w:t>(βα</w:t>
      </w:r>
      <w:r w:rsidR="009B65A0" w:rsidRPr="000004E8">
        <w:rPr>
          <w:rFonts w:eastAsia="Times New Roman" w:cs="Calibri"/>
          <w:bCs/>
          <w:color w:val="000000"/>
          <w:lang w:eastAsia="el-GR"/>
        </w:rPr>
        <w:t xml:space="preserve">) </w:t>
      </w:r>
      <w:r w:rsidR="009B65A0" w:rsidRPr="000004E8">
        <w:rPr>
          <w:rFonts w:cs="Calibri"/>
          <w:bCs/>
          <w:color w:val="000000"/>
        </w:rPr>
        <w:t>Έως την 31</w:t>
      </w:r>
      <w:r w:rsidR="009B65A0" w:rsidRPr="000004E8">
        <w:rPr>
          <w:rFonts w:cs="Calibri"/>
          <w:bCs/>
          <w:color w:val="000000"/>
          <w:vertAlign w:val="superscript"/>
        </w:rPr>
        <w:t>η</w:t>
      </w:r>
      <w:r w:rsidR="008B3158">
        <w:rPr>
          <w:rFonts w:cs="Calibri"/>
          <w:bCs/>
          <w:color w:val="000000"/>
          <w:vertAlign w:val="superscript"/>
        </w:rPr>
        <w:t xml:space="preserve"> </w:t>
      </w:r>
      <w:r w:rsidR="009B65A0" w:rsidRPr="000004E8">
        <w:rPr>
          <w:rFonts w:cs="Calibri"/>
          <w:bCs/>
          <w:color w:val="000000"/>
        </w:rPr>
        <w:t xml:space="preserve">Ιανουαρίου </w:t>
      </w:r>
      <w:r w:rsidR="00A0147C" w:rsidRPr="000004E8">
        <w:rPr>
          <w:rFonts w:cs="Calibri"/>
          <w:bCs/>
          <w:color w:val="000000"/>
        </w:rPr>
        <w:t xml:space="preserve">2021 </w:t>
      </w:r>
      <w:r w:rsidR="009B65A0" w:rsidRPr="000004E8">
        <w:rPr>
          <w:rFonts w:cs="Calibri"/>
          <w:bCs/>
          <w:color w:val="000000"/>
        </w:rPr>
        <w:t xml:space="preserve">ο αρμόδιος </w:t>
      </w:r>
      <w:r w:rsidR="00870F5F" w:rsidRPr="000004E8">
        <w:rPr>
          <w:rFonts w:cs="Calibri"/>
          <w:bCs/>
          <w:color w:val="000000"/>
        </w:rPr>
        <w:t>δ</w:t>
      </w:r>
      <w:r w:rsidR="009B65A0" w:rsidRPr="000004E8">
        <w:rPr>
          <w:rFonts w:cs="Calibri"/>
          <w:bCs/>
          <w:color w:val="000000"/>
        </w:rPr>
        <w:t xml:space="preserve">ιαχειριστής εκδίδει </w:t>
      </w:r>
      <w:r w:rsidR="00B761EE" w:rsidRPr="000004E8">
        <w:rPr>
          <w:rFonts w:cs="Calibri"/>
          <w:bCs/>
          <w:color w:val="000000"/>
        </w:rPr>
        <w:t xml:space="preserve">ενημερωτικό </w:t>
      </w:r>
      <w:r w:rsidR="009B65A0" w:rsidRPr="000004E8">
        <w:rPr>
          <w:rFonts w:cs="Calibri"/>
          <w:bCs/>
          <w:color w:val="000000"/>
        </w:rPr>
        <w:t xml:space="preserve">σημείωμα, </w:t>
      </w:r>
      <w:r w:rsidR="00D03296" w:rsidRPr="000004E8">
        <w:rPr>
          <w:rFonts w:cs="Calibri"/>
          <w:color w:val="000000"/>
        </w:rPr>
        <w:t xml:space="preserve">με τη μηνιαία ανάλυση της ως άνω εισφοράς, το οποίο </w:t>
      </w:r>
      <w:r w:rsidR="009B65A0" w:rsidRPr="000004E8">
        <w:rPr>
          <w:rFonts w:cs="Calibri"/>
          <w:bCs/>
          <w:color w:val="000000"/>
        </w:rPr>
        <w:t xml:space="preserve">αποστέλλεται στον υπόχρεο. Τα ποσά της εισφοράς για τους μήνες του έτους 2020 υπολογίζονται επί του προς τιμολόγηση ποσού εκάστου μήνα του 2020, παρακρατούνται και συμψηφίζονται εντός του έτους 2021 με τις πληρωμές των τιμολογίων των αντίστοιχων μηνών από τον αρμόδιο </w:t>
      </w:r>
      <w:r w:rsidR="00870F5F" w:rsidRPr="000004E8">
        <w:rPr>
          <w:rFonts w:cs="Calibri"/>
          <w:bCs/>
          <w:color w:val="000000"/>
        </w:rPr>
        <w:t>δ</w:t>
      </w:r>
      <w:r w:rsidR="009B65A0" w:rsidRPr="000004E8">
        <w:rPr>
          <w:rFonts w:cs="Calibri"/>
          <w:bCs/>
          <w:color w:val="000000"/>
        </w:rPr>
        <w:t>ιαχειριστή προς τον παραγωγό.</w:t>
      </w:r>
    </w:p>
    <w:p w14:paraId="5776D9AF" w14:textId="363DB165" w:rsidR="009B65A0" w:rsidRPr="000004E8" w:rsidRDefault="009B65A0" w:rsidP="008C279F">
      <w:pPr>
        <w:pStyle w:val="a3"/>
        <w:spacing w:after="60" w:line="300" w:lineRule="auto"/>
        <w:ind w:firstLine="720"/>
        <w:contextualSpacing w:val="0"/>
        <w:jc w:val="both"/>
        <w:rPr>
          <w:rFonts w:cs="Calibri"/>
          <w:bCs/>
          <w:color w:val="000000"/>
        </w:rPr>
      </w:pPr>
      <w:r w:rsidRPr="000004E8">
        <w:rPr>
          <w:rFonts w:cs="Calibri"/>
          <w:bCs/>
          <w:color w:val="000000"/>
        </w:rPr>
        <w:t>(β</w:t>
      </w:r>
      <w:r w:rsidR="008C279F" w:rsidRPr="000004E8">
        <w:rPr>
          <w:rFonts w:cs="Calibri"/>
          <w:bCs/>
          <w:color w:val="000000"/>
        </w:rPr>
        <w:t>β</w:t>
      </w:r>
      <w:r w:rsidRPr="000004E8">
        <w:rPr>
          <w:rFonts w:cs="Calibri"/>
          <w:bCs/>
          <w:color w:val="000000"/>
        </w:rPr>
        <w:t>) Για την περίπτωση των φωτοβολταϊκών</w:t>
      </w:r>
      <w:r w:rsidR="00A0147C" w:rsidRPr="000004E8">
        <w:rPr>
          <w:rFonts w:cs="Calibri"/>
          <w:bCs/>
          <w:color w:val="000000"/>
        </w:rPr>
        <w:t xml:space="preserve"> </w:t>
      </w:r>
      <w:r w:rsidRPr="000004E8">
        <w:rPr>
          <w:rFonts w:cs="Calibri"/>
          <w:bCs/>
          <w:color w:val="000000"/>
        </w:rPr>
        <w:t xml:space="preserve">σταθμών που εμπίπτουν στο Ειδικό Πρόγραμμα Ανάπτυξης Φωτοβολταϊκών Συστημάτων σε κτιριακές εγκαταστάσεις, η ως άνω έκτακτη εισφορά επιβάλλεται για κάθε σταθμό και υπολογίζεται επί της κατά αναλογία παραγωγής του </w:t>
      </w:r>
      <w:r w:rsidR="00870F5F" w:rsidRPr="000004E8">
        <w:rPr>
          <w:rFonts w:cs="Calibri"/>
          <w:bCs/>
          <w:color w:val="000000"/>
        </w:rPr>
        <w:t>σ</w:t>
      </w:r>
      <w:r w:rsidRPr="000004E8">
        <w:rPr>
          <w:rFonts w:cs="Calibri"/>
          <w:bCs/>
          <w:color w:val="000000"/>
        </w:rPr>
        <w:t xml:space="preserve">ταθμού </w:t>
      </w:r>
      <w:r w:rsidR="00B8618F" w:rsidRPr="000004E8">
        <w:rPr>
          <w:rFonts w:cs="Calibri"/>
          <w:bCs/>
          <w:color w:val="000000"/>
        </w:rPr>
        <w:t>με βάση τα αντίστοιχα χρονομερίδια</w:t>
      </w:r>
      <w:r w:rsidR="00A0147C" w:rsidRPr="000004E8">
        <w:rPr>
          <w:rFonts w:cs="Calibri"/>
          <w:bCs/>
          <w:color w:val="000000"/>
        </w:rPr>
        <w:t xml:space="preserve"> </w:t>
      </w:r>
      <w:r w:rsidRPr="000004E8">
        <w:rPr>
          <w:rFonts w:cs="Calibri"/>
          <w:bCs/>
          <w:color w:val="000000"/>
        </w:rPr>
        <w:t>για την περίοδο από 1</w:t>
      </w:r>
      <w:r w:rsidR="008B3158">
        <w:rPr>
          <w:rFonts w:cs="Calibri"/>
          <w:bCs/>
          <w:color w:val="000000"/>
        </w:rPr>
        <w:t>ης</w:t>
      </w:r>
      <w:r w:rsidRPr="000004E8">
        <w:rPr>
          <w:rFonts w:cs="Calibri"/>
          <w:bCs/>
          <w:color w:val="000000"/>
        </w:rPr>
        <w:t xml:space="preserve">.1.2020 έως 31.12.2020, κατόπιν υπολογισμών </w:t>
      </w:r>
      <w:r w:rsidR="00566088" w:rsidRPr="000004E8">
        <w:rPr>
          <w:rFonts w:cs="Calibri"/>
          <w:color w:val="000000"/>
        </w:rPr>
        <w:t>του ΔΑΠΕΕΠ για το Διασυνδεδεμένο Δίκτυο και τα ΜΔΝ</w:t>
      </w:r>
      <w:r w:rsidR="005741B6" w:rsidRPr="000004E8">
        <w:rPr>
          <w:rFonts w:cs="Calibri"/>
          <w:color w:val="000000"/>
        </w:rPr>
        <w:t>,</w:t>
      </w:r>
      <w:r w:rsidR="00566088" w:rsidRPr="000004E8">
        <w:rPr>
          <w:rFonts w:cs="Calibri"/>
          <w:color w:val="000000"/>
        </w:rPr>
        <w:t xml:space="preserve">  </w:t>
      </w:r>
      <w:r w:rsidRPr="000004E8">
        <w:rPr>
          <w:rFonts w:cs="Calibri"/>
          <w:bCs/>
          <w:color w:val="000000"/>
        </w:rPr>
        <w:t>ο οποίος ενημερώνει τον τρέχοντα προμηθευτή</w:t>
      </w:r>
      <w:r w:rsidR="00FF77F8" w:rsidRPr="000004E8">
        <w:rPr>
          <w:rFonts w:cs="Calibri"/>
          <w:bCs/>
          <w:color w:val="000000"/>
        </w:rPr>
        <w:t xml:space="preserve"> ηλεκτρικής ενέργειας</w:t>
      </w:r>
      <w:r w:rsidR="00870F5F" w:rsidRPr="000004E8">
        <w:rPr>
          <w:rFonts w:cs="Calibri"/>
          <w:bCs/>
          <w:color w:val="000000"/>
        </w:rPr>
        <w:t>, δηλαδή τον</w:t>
      </w:r>
      <w:r w:rsidRPr="000004E8">
        <w:rPr>
          <w:rFonts w:cs="Calibri"/>
          <w:bCs/>
          <w:color w:val="000000"/>
        </w:rPr>
        <w:t xml:space="preserve"> εκπρόσωπο φορτίου του πελάτη. Ο προμηθευτής εφαρμόζει και συμψηφίζει την παραπάνω έκτακτη εισφορά με τις μελλοντικές χρεοπιστώσεις προς τους δικαιούχους του </w:t>
      </w:r>
      <w:r w:rsidR="00870F5F" w:rsidRPr="000004E8">
        <w:rPr>
          <w:rFonts w:cs="Calibri"/>
          <w:bCs/>
          <w:color w:val="000000"/>
        </w:rPr>
        <w:t>ε</w:t>
      </w:r>
      <w:r w:rsidRPr="000004E8">
        <w:rPr>
          <w:rFonts w:cs="Calibri"/>
          <w:bCs/>
          <w:color w:val="000000"/>
        </w:rPr>
        <w:t xml:space="preserve">ιδικού </w:t>
      </w:r>
      <w:r w:rsidR="00870F5F" w:rsidRPr="000004E8">
        <w:rPr>
          <w:rFonts w:cs="Calibri"/>
          <w:bCs/>
          <w:color w:val="000000"/>
        </w:rPr>
        <w:t>π</w:t>
      </w:r>
      <w:r w:rsidRPr="000004E8">
        <w:rPr>
          <w:rFonts w:cs="Calibri"/>
          <w:bCs/>
          <w:color w:val="000000"/>
        </w:rPr>
        <w:t xml:space="preserve">ρογράμματος, βάσει της </w:t>
      </w:r>
      <w:r w:rsidRPr="000004E8">
        <w:rPr>
          <w:rFonts w:cs="Calibri"/>
          <w:bCs/>
          <w:color w:val="000000"/>
        </w:rPr>
        <w:lastRenderedPageBreak/>
        <w:t xml:space="preserve">παραγωγής του φωτοβολταϊκού συστήματος της αντίστοιχης περιόδου του έτους 2020, μειώνοντας αντίστοιχα τις απαιτήσεις του από τον </w:t>
      </w:r>
      <w:r w:rsidR="005741B6" w:rsidRPr="000004E8">
        <w:rPr>
          <w:rFonts w:cs="Calibri"/>
          <w:bCs/>
          <w:color w:val="000000"/>
        </w:rPr>
        <w:t>Ε</w:t>
      </w:r>
      <w:r w:rsidRPr="000004E8">
        <w:rPr>
          <w:rFonts w:cs="Calibri"/>
          <w:bCs/>
          <w:color w:val="000000"/>
        </w:rPr>
        <w:t xml:space="preserve">ιδικό </w:t>
      </w:r>
      <w:r w:rsidR="005741B6" w:rsidRPr="000004E8">
        <w:rPr>
          <w:rFonts w:cs="Calibri"/>
          <w:bCs/>
          <w:color w:val="000000"/>
        </w:rPr>
        <w:t>Λ</w:t>
      </w:r>
      <w:r w:rsidRPr="000004E8">
        <w:rPr>
          <w:rFonts w:cs="Calibri"/>
          <w:bCs/>
          <w:color w:val="000000"/>
        </w:rPr>
        <w:t>ογαριασμό του άρθρου 143 του ν. 4001/2011</w:t>
      </w:r>
      <w:r w:rsidR="005741B6" w:rsidRPr="000004E8">
        <w:rPr>
          <w:rFonts w:cs="Calibri"/>
          <w:bCs/>
          <w:color w:val="000000"/>
        </w:rPr>
        <w:t xml:space="preserve"> (Α’ 179)</w:t>
      </w:r>
      <w:r w:rsidRPr="000004E8">
        <w:rPr>
          <w:rFonts w:cs="Calibri"/>
          <w:bCs/>
          <w:color w:val="000000"/>
        </w:rPr>
        <w:t>. Η εισφορά εφαρμόζεται στους εκκαθαριστικούς λογαριασμούς που εκδίδονται από την 1</w:t>
      </w:r>
      <w:r w:rsidR="008B3158">
        <w:rPr>
          <w:rFonts w:cs="Calibri"/>
          <w:bCs/>
          <w:color w:val="000000"/>
        </w:rPr>
        <w:t>η</w:t>
      </w:r>
      <w:r w:rsidRPr="000004E8">
        <w:rPr>
          <w:rFonts w:cs="Calibri"/>
          <w:bCs/>
          <w:color w:val="000000"/>
        </w:rPr>
        <w:t>.1.2021</w:t>
      </w:r>
      <w:r w:rsidR="00870F5F" w:rsidRPr="000004E8">
        <w:rPr>
          <w:rFonts w:cs="Calibri"/>
          <w:bCs/>
          <w:color w:val="000000"/>
        </w:rPr>
        <w:t xml:space="preserve"> </w:t>
      </w:r>
      <w:r w:rsidRPr="000004E8">
        <w:rPr>
          <w:rFonts w:cs="Calibri"/>
          <w:bCs/>
          <w:color w:val="000000"/>
        </w:rPr>
        <w:t>βάσει της παραγωγής ηλεκτρικής ενέργειας του φωτοβολταϊκού συστήματος κατά την αντίστοιχη χρονική περίοδο του έτους 2020.</w:t>
      </w:r>
    </w:p>
    <w:p w14:paraId="0589F6F4" w14:textId="4BC843FA" w:rsidR="009B65A0" w:rsidRPr="000004E8" w:rsidRDefault="008C279F" w:rsidP="008C279F">
      <w:pPr>
        <w:pStyle w:val="a3"/>
        <w:spacing w:after="60" w:line="300" w:lineRule="auto"/>
        <w:jc w:val="both"/>
        <w:rPr>
          <w:rFonts w:cs="Calibri"/>
          <w:bCs/>
          <w:color w:val="000000"/>
        </w:rPr>
      </w:pPr>
      <w:r w:rsidRPr="000004E8">
        <w:rPr>
          <w:rFonts w:cs="Calibri"/>
          <w:bCs/>
          <w:color w:val="000000"/>
        </w:rPr>
        <w:t xml:space="preserve">γ) </w:t>
      </w:r>
      <w:r w:rsidR="009B65A0" w:rsidRPr="000004E8">
        <w:rPr>
          <w:rFonts w:cs="Calibri"/>
          <w:bCs/>
          <w:color w:val="000000"/>
        </w:rPr>
        <w:t xml:space="preserve">Τα ποσά που αντιστοιχούν στην εισφορά </w:t>
      </w:r>
      <w:r w:rsidR="00A0147C" w:rsidRPr="000004E8">
        <w:rPr>
          <w:rFonts w:cs="Calibri"/>
          <w:bCs/>
          <w:color w:val="000000"/>
        </w:rPr>
        <w:t xml:space="preserve">της </w:t>
      </w:r>
      <w:r w:rsidR="00F323D5" w:rsidRPr="000004E8">
        <w:rPr>
          <w:rFonts w:cs="Calibri"/>
          <w:bCs/>
          <w:color w:val="000000"/>
        </w:rPr>
        <w:t xml:space="preserve">παρούσας </w:t>
      </w:r>
      <w:r w:rsidR="009B65A0" w:rsidRPr="000004E8">
        <w:rPr>
          <w:rFonts w:cs="Calibri"/>
          <w:bCs/>
          <w:color w:val="000000"/>
        </w:rPr>
        <w:t xml:space="preserve">υπολογίζονται και παρακρατούνται </w:t>
      </w:r>
      <w:r w:rsidR="002500FA" w:rsidRPr="000004E8">
        <w:rPr>
          <w:rFonts w:eastAsia="Times New Roman"/>
        </w:rPr>
        <w:t>σε κάθε εκκαθάριση από την Δ.Α.Π.Ε.Ε.Π. Α.Ε. ή τη Δ.Ε.Δ.Δ.Η.Ε. Α.Ε. ως Διαχειριστή</w:t>
      </w:r>
      <w:r w:rsidR="005741B6" w:rsidRPr="000004E8">
        <w:rPr>
          <w:rFonts w:eastAsia="Times New Roman"/>
        </w:rPr>
        <w:t xml:space="preserve"> των</w:t>
      </w:r>
      <w:r w:rsidR="002500FA" w:rsidRPr="000004E8">
        <w:rPr>
          <w:rFonts w:eastAsia="Times New Roman"/>
        </w:rPr>
        <w:t xml:space="preserve"> Μ.Δ.Ν. ή </w:t>
      </w:r>
      <w:r w:rsidR="002500FA" w:rsidRPr="000004E8">
        <w:rPr>
          <w:rFonts w:cs="Calibri"/>
          <w:color w:val="000000"/>
        </w:rPr>
        <w:t xml:space="preserve">από τους προμηθευτές για την </w:t>
      </w:r>
      <w:r w:rsidR="005741B6" w:rsidRPr="000004E8">
        <w:rPr>
          <w:rFonts w:cs="Calibri"/>
          <w:color w:val="000000"/>
        </w:rPr>
        <w:t xml:space="preserve">ανωτέρω </w:t>
      </w:r>
      <w:r w:rsidR="009A100B">
        <w:rPr>
          <w:rFonts w:cs="Calibri"/>
          <w:color w:val="000000"/>
        </w:rPr>
        <w:t>υπο</w:t>
      </w:r>
      <w:r w:rsidR="002500FA" w:rsidRPr="000004E8">
        <w:rPr>
          <w:rFonts w:cs="Calibri"/>
          <w:color w:val="000000"/>
        </w:rPr>
        <w:t>περ</w:t>
      </w:r>
      <w:r w:rsidR="005741B6" w:rsidRPr="000004E8">
        <w:rPr>
          <w:rFonts w:cs="Calibri"/>
          <w:color w:val="000000"/>
        </w:rPr>
        <w:t>.</w:t>
      </w:r>
      <w:r w:rsidR="002500FA" w:rsidRPr="000004E8">
        <w:rPr>
          <w:rFonts w:cs="Calibri"/>
          <w:color w:val="000000"/>
        </w:rPr>
        <w:t xml:space="preserve"> ββ)</w:t>
      </w:r>
      <w:r w:rsidR="009B65A0" w:rsidRPr="000004E8">
        <w:rPr>
          <w:rFonts w:cs="Calibri"/>
          <w:bCs/>
          <w:color w:val="000000"/>
        </w:rPr>
        <w:t xml:space="preserve"> και η έκπτωση της εν λόγω δαπάνης διενεργείται εφάπαξ</w:t>
      </w:r>
      <w:r w:rsidR="00717C8D" w:rsidRPr="000004E8">
        <w:rPr>
          <w:rFonts w:cs="Calibri"/>
          <w:bCs/>
          <w:color w:val="000000"/>
        </w:rPr>
        <w:t>,</w:t>
      </w:r>
      <w:r w:rsidR="009B65A0" w:rsidRPr="000004E8">
        <w:rPr>
          <w:rFonts w:cs="Calibri"/>
          <w:bCs/>
          <w:color w:val="000000"/>
        </w:rPr>
        <w:t xml:space="preserve"> το φορολογικό έτος εντός του οποίου πραγματοποιήθηκ</w:t>
      </w:r>
      <w:r w:rsidR="009A100B">
        <w:rPr>
          <w:rFonts w:cs="Calibri"/>
          <w:bCs/>
          <w:color w:val="000000"/>
        </w:rPr>
        <w:t>αν</w:t>
      </w:r>
      <w:r w:rsidR="009B65A0" w:rsidRPr="000004E8">
        <w:rPr>
          <w:rFonts w:cs="Calibri"/>
          <w:bCs/>
          <w:color w:val="000000"/>
        </w:rPr>
        <w:t xml:space="preserve"> η </w:t>
      </w:r>
      <w:r w:rsidR="00A0147C" w:rsidRPr="000004E8">
        <w:rPr>
          <w:rFonts w:cs="Calibri"/>
          <w:bCs/>
          <w:color w:val="000000"/>
        </w:rPr>
        <w:t xml:space="preserve">παρακράτηση και ο συμψηφισμός της επιβληθείσας </w:t>
      </w:r>
      <w:r w:rsidR="00AD4C71" w:rsidRPr="000004E8">
        <w:rPr>
          <w:rFonts w:cs="Calibri"/>
          <w:bCs/>
          <w:color w:val="000000"/>
        </w:rPr>
        <w:t xml:space="preserve">έκτακτης </w:t>
      </w:r>
      <w:r w:rsidR="00A0147C" w:rsidRPr="000004E8">
        <w:rPr>
          <w:rFonts w:cs="Calibri"/>
          <w:bCs/>
          <w:color w:val="000000"/>
        </w:rPr>
        <w:t>εισφοράς</w:t>
      </w:r>
      <w:r w:rsidR="00AD4C71" w:rsidRPr="000004E8">
        <w:rPr>
          <w:rFonts w:cs="Calibri"/>
          <w:bCs/>
          <w:color w:val="000000"/>
        </w:rPr>
        <w:t xml:space="preserve"> </w:t>
      </w:r>
      <w:r w:rsidR="00AD4C71" w:rsidRPr="000004E8">
        <w:t>και ανεξάρτητα του φορολογικού έτους εντός του οποίου πραγματοποιήθηκε η πώληση της παραγόμενης ηλεκτρικής ενέργειας και  υπολογίσθηκε η επιβληθείσα έκτακτη εισφορά</w:t>
      </w:r>
      <w:r w:rsidR="009B65A0" w:rsidRPr="000004E8">
        <w:rPr>
          <w:rFonts w:cs="Calibri"/>
          <w:bCs/>
          <w:color w:val="000000"/>
        </w:rPr>
        <w:t>.</w:t>
      </w:r>
    </w:p>
    <w:p w14:paraId="0A2488E5" w14:textId="06300BB4" w:rsidR="009B65A0" w:rsidRPr="000004E8" w:rsidRDefault="008C279F" w:rsidP="00BF52BC">
      <w:pPr>
        <w:pStyle w:val="a3"/>
        <w:spacing w:after="60" w:line="300" w:lineRule="auto"/>
        <w:jc w:val="both"/>
        <w:rPr>
          <w:rFonts w:cs="Calibri"/>
          <w:bCs/>
          <w:color w:val="000000"/>
        </w:rPr>
      </w:pPr>
      <w:r w:rsidRPr="000004E8">
        <w:rPr>
          <w:rFonts w:cs="Calibri"/>
          <w:bCs/>
          <w:color w:val="000000"/>
        </w:rPr>
        <w:t>δ</w:t>
      </w:r>
      <w:r w:rsidRPr="00D20891">
        <w:rPr>
          <w:rFonts w:cs="Calibri"/>
          <w:bCs/>
          <w:color w:val="000000"/>
        </w:rPr>
        <w:t xml:space="preserve">) </w:t>
      </w:r>
      <w:r w:rsidR="00866379" w:rsidRPr="00D20891">
        <w:rPr>
          <w:rFonts w:cs="Calibri"/>
          <w:bCs/>
          <w:color w:val="000000"/>
        </w:rPr>
        <w:t>Ο Κώδικας Δ</w:t>
      </w:r>
      <w:r w:rsidR="005F1028" w:rsidRPr="00D20891">
        <w:rPr>
          <w:rFonts w:cs="Calibri"/>
          <w:bCs/>
          <w:color w:val="000000"/>
        </w:rPr>
        <w:t>.</w:t>
      </w:r>
      <w:r w:rsidR="00866379" w:rsidRPr="00D20891">
        <w:rPr>
          <w:rFonts w:cs="Calibri"/>
          <w:bCs/>
          <w:color w:val="000000"/>
        </w:rPr>
        <w:t>Α</w:t>
      </w:r>
      <w:r w:rsidR="005F1028" w:rsidRPr="00D20891">
        <w:rPr>
          <w:rFonts w:cs="Calibri"/>
          <w:bCs/>
          <w:color w:val="000000"/>
        </w:rPr>
        <w:t>.</w:t>
      </w:r>
      <w:r w:rsidR="00866379" w:rsidRPr="00D20891">
        <w:rPr>
          <w:rFonts w:cs="Calibri"/>
          <w:bCs/>
          <w:color w:val="000000"/>
        </w:rPr>
        <w:t>Π</w:t>
      </w:r>
      <w:r w:rsidR="005F1028" w:rsidRPr="00D20891">
        <w:rPr>
          <w:rFonts w:cs="Calibri"/>
          <w:bCs/>
          <w:color w:val="000000"/>
        </w:rPr>
        <w:t>.</w:t>
      </w:r>
      <w:r w:rsidR="00866379" w:rsidRPr="00D20891">
        <w:rPr>
          <w:rFonts w:cs="Calibri"/>
          <w:bCs/>
          <w:color w:val="000000"/>
        </w:rPr>
        <w:t>Ε</w:t>
      </w:r>
      <w:r w:rsidR="005F1028" w:rsidRPr="00D20891">
        <w:rPr>
          <w:rFonts w:cs="Calibri"/>
          <w:bCs/>
          <w:color w:val="000000"/>
        </w:rPr>
        <w:t>.</w:t>
      </w:r>
      <w:r w:rsidR="00866379" w:rsidRPr="00D20891">
        <w:rPr>
          <w:rFonts w:cs="Calibri"/>
          <w:bCs/>
          <w:color w:val="000000"/>
        </w:rPr>
        <w:t>Ε</w:t>
      </w:r>
      <w:r w:rsidR="005F1028" w:rsidRPr="00D20891">
        <w:rPr>
          <w:rFonts w:cs="Calibri"/>
          <w:bCs/>
          <w:color w:val="000000"/>
        </w:rPr>
        <w:t>.</w:t>
      </w:r>
      <w:r w:rsidR="00866379" w:rsidRPr="00D20891">
        <w:rPr>
          <w:rFonts w:cs="Calibri"/>
          <w:bCs/>
          <w:color w:val="000000"/>
        </w:rPr>
        <w:t>Π</w:t>
      </w:r>
      <w:r w:rsidR="00C259AF" w:rsidRPr="00D20891">
        <w:rPr>
          <w:rFonts w:cs="Calibri"/>
          <w:bCs/>
          <w:color w:val="000000"/>
        </w:rPr>
        <w:t xml:space="preserve"> (Β΄ 2307/2018)</w:t>
      </w:r>
      <w:r w:rsidR="00866379" w:rsidRPr="00D20891">
        <w:rPr>
          <w:rFonts w:cs="Calibri"/>
          <w:bCs/>
          <w:color w:val="000000"/>
        </w:rPr>
        <w:t>, ο Κώδικας Διαχείρισης Ε</w:t>
      </w:r>
      <w:r w:rsidR="005F1028" w:rsidRPr="00D20891">
        <w:rPr>
          <w:rFonts w:cs="Calibri"/>
          <w:bCs/>
          <w:color w:val="000000"/>
        </w:rPr>
        <w:t>.</w:t>
      </w:r>
      <w:r w:rsidR="00866379" w:rsidRPr="00D20891">
        <w:rPr>
          <w:rFonts w:cs="Calibri"/>
          <w:bCs/>
          <w:color w:val="000000"/>
        </w:rPr>
        <w:t>Δ</w:t>
      </w:r>
      <w:r w:rsidR="005F1028" w:rsidRPr="00D20891">
        <w:rPr>
          <w:rFonts w:cs="Calibri"/>
          <w:bCs/>
          <w:color w:val="000000"/>
        </w:rPr>
        <w:t>.</w:t>
      </w:r>
      <w:r w:rsidR="00866379" w:rsidRPr="00D20891">
        <w:rPr>
          <w:rFonts w:cs="Calibri"/>
          <w:bCs/>
          <w:color w:val="000000"/>
        </w:rPr>
        <w:t>Δ</w:t>
      </w:r>
      <w:r w:rsidR="005F1028" w:rsidRPr="00D20891">
        <w:rPr>
          <w:rFonts w:cs="Calibri"/>
          <w:bCs/>
          <w:color w:val="000000"/>
        </w:rPr>
        <w:t>.</w:t>
      </w:r>
      <w:r w:rsidR="00866379" w:rsidRPr="00D20891">
        <w:rPr>
          <w:rFonts w:cs="Calibri"/>
          <w:bCs/>
          <w:color w:val="000000"/>
        </w:rPr>
        <w:t>Η</w:t>
      </w:r>
      <w:r w:rsidR="005F1028" w:rsidRPr="00D20891">
        <w:rPr>
          <w:rFonts w:cs="Calibri"/>
          <w:bCs/>
          <w:color w:val="000000"/>
        </w:rPr>
        <w:t>.</w:t>
      </w:r>
      <w:r w:rsidR="00866379" w:rsidRPr="00D20891">
        <w:rPr>
          <w:rFonts w:cs="Calibri"/>
          <w:bCs/>
          <w:color w:val="000000"/>
        </w:rPr>
        <w:t>Ε</w:t>
      </w:r>
      <w:r w:rsidR="005F1028" w:rsidRPr="00D20891">
        <w:rPr>
          <w:rFonts w:cs="Calibri"/>
          <w:bCs/>
          <w:color w:val="000000"/>
        </w:rPr>
        <w:t>.</w:t>
      </w:r>
      <w:r w:rsidR="00C259AF" w:rsidRPr="00D20891">
        <w:rPr>
          <w:rFonts w:cs="Calibri"/>
          <w:bCs/>
          <w:color w:val="000000"/>
        </w:rPr>
        <w:t xml:space="preserve"> (Β΄ 78/2017)</w:t>
      </w:r>
      <w:r w:rsidR="00866379" w:rsidRPr="00D20891">
        <w:rPr>
          <w:rFonts w:cs="Calibri"/>
          <w:bCs/>
          <w:color w:val="000000"/>
        </w:rPr>
        <w:t xml:space="preserve"> και ο Κώδικας Διαχείρισης Μ</w:t>
      </w:r>
      <w:r w:rsidR="005F1028" w:rsidRPr="00D20891">
        <w:rPr>
          <w:rFonts w:cs="Calibri"/>
          <w:bCs/>
          <w:color w:val="000000"/>
        </w:rPr>
        <w:t>.</w:t>
      </w:r>
      <w:r w:rsidR="00866379" w:rsidRPr="00D20891">
        <w:rPr>
          <w:rFonts w:cs="Calibri"/>
          <w:bCs/>
          <w:color w:val="000000"/>
        </w:rPr>
        <w:t>Δ</w:t>
      </w:r>
      <w:r w:rsidR="005F1028" w:rsidRPr="00D20891">
        <w:rPr>
          <w:rFonts w:cs="Calibri"/>
          <w:bCs/>
          <w:color w:val="000000"/>
        </w:rPr>
        <w:t>.</w:t>
      </w:r>
      <w:r w:rsidR="00866379" w:rsidRPr="00D20891">
        <w:rPr>
          <w:rFonts w:cs="Calibri"/>
          <w:bCs/>
          <w:color w:val="000000"/>
        </w:rPr>
        <w:t>Ν</w:t>
      </w:r>
      <w:r w:rsidR="005F1028" w:rsidRPr="00D20891">
        <w:rPr>
          <w:rFonts w:cs="Calibri"/>
          <w:bCs/>
          <w:color w:val="000000"/>
        </w:rPr>
        <w:t>.</w:t>
      </w:r>
      <w:r w:rsidR="00866379" w:rsidRPr="00D20891">
        <w:rPr>
          <w:rFonts w:cs="Calibri"/>
          <w:bCs/>
          <w:color w:val="000000"/>
        </w:rPr>
        <w:t xml:space="preserve"> </w:t>
      </w:r>
      <w:r w:rsidR="00860BDA" w:rsidRPr="00D20891">
        <w:rPr>
          <w:rFonts w:cs="Calibri"/>
          <w:bCs/>
          <w:color w:val="000000"/>
        </w:rPr>
        <w:t xml:space="preserve">(Β΄ 304/2014) </w:t>
      </w:r>
      <w:r w:rsidR="00866379" w:rsidRPr="00D20891">
        <w:rPr>
          <w:rFonts w:cs="Calibri"/>
          <w:bCs/>
          <w:color w:val="000000"/>
        </w:rPr>
        <w:t xml:space="preserve">δύναται να τροποποιούνται για την εφαρμογή </w:t>
      </w:r>
      <w:r w:rsidRPr="00D20891">
        <w:rPr>
          <w:rFonts w:cs="Calibri"/>
          <w:bCs/>
          <w:color w:val="000000"/>
        </w:rPr>
        <w:t>της παρούσας</w:t>
      </w:r>
      <w:r w:rsidR="005F1028" w:rsidRPr="000004E8">
        <w:rPr>
          <w:rFonts w:cs="Calibri"/>
          <w:bCs/>
          <w:color w:val="000000"/>
        </w:rPr>
        <w:t>.</w:t>
      </w:r>
      <w:r w:rsidR="00717C8D" w:rsidRPr="000004E8">
        <w:rPr>
          <w:rFonts w:cs="Calibri"/>
          <w:bCs/>
          <w:color w:val="000000"/>
        </w:rPr>
        <w:t xml:space="preserve"> </w:t>
      </w:r>
      <w:r w:rsidR="00717C8D" w:rsidRPr="000004E8">
        <w:rPr>
          <w:rFonts w:cs="Calibri"/>
          <w:color w:val="000000"/>
        </w:rPr>
        <w:t xml:space="preserve">Σε περίπτωσης διασύνδεσης μη Διασυνδεδεμένων Νησιών εντός του έτους 2021 η υποχρέωση της συναλλαγής </w:t>
      </w:r>
      <w:r w:rsidR="002E6A06" w:rsidRPr="000004E8">
        <w:rPr>
          <w:rFonts w:cs="Calibri"/>
          <w:color w:val="000000"/>
        </w:rPr>
        <w:t xml:space="preserve">για υπολειπόμενα ποσά </w:t>
      </w:r>
      <w:r w:rsidR="00717C8D" w:rsidRPr="000004E8">
        <w:rPr>
          <w:rFonts w:cs="Calibri"/>
          <w:color w:val="000000"/>
        </w:rPr>
        <w:t>υλοποιείται από την ΔΑΠΕΕΠ ΑΕ κατόπιν στοιχείων που παρέχει η ΔΕΔΔΗΕ ΑΕ.</w:t>
      </w:r>
    </w:p>
    <w:p w14:paraId="450E1B66" w14:textId="0B8A4BD6" w:rsidR="004D7F44" w:rsidRPr="000004E8" w:rsidRDefault="008C279F" w:rsidP="004D7F44">
      <w:pPr>
        <w:pStyle w:val="a3"/>
        <w:numPr>
          <w:ilvl w:val="0"/>
          <w:numId w:val="5"/>
        </w:numPr>
        <w:spacing w:after="200" w:line="300" w:lineRule="auto"/>
        <w:ind w:left="714" w:hanging="357"/>
        <w:jc w:val="both"/>
        <w:rPr>
          <w:rFonts w:cs="Calibri"/>
        </w:rPr>
      </w:pPr>
      <w:r w:rsidRPr="000004E8">
        <w:rPr>
          <w:rFonts w:cstheme="minorHAnsi"/>
          <w:bCs/>
        </w:rPr>
        <w:t xml:space="preserve">α) </w:t>
      </w:r>
      <w:r w:rsidR="00957E0D" w:rsidRPr="000004E8">
        <w:rPr>
          <w:rFonts w:cstheme="minorHAnsi"/>
          <w:bCs/>
        </w:rPr>
        <w:t xml:space="preserve">Επιβάλλεται </w:t>
      </w:r>
      <w:r w:rsidR="00612F0C" w:rsidRPr="000004E8">
        <w:rPr>
          <w:rFonts w:cstheme="minorHAnsi"/>
          <w:bCs/>
        </w:rPr>
        <w:t xml:space="preserve">έκτακτη χρέωση για το έτος 2021 σε κάθε </w:t>
      </w:r>
      <w:r w:rsidR="005F1028" w:rsidRPr="000004E8">
        <w:rPr>
          <w:rFonts w:cstheme="minorHAnsi"/>
          <w:bCs/>
        </w:rPr>
        <w:t>ε</w:t>
      </w:r>
      <w:r w:rsidR="00612F0C" w:rsidRPr="000004E8">
        <w:rPr>
          <w:rFonts w:cstheme="minorHAnsi"/>
          <w:bCs/>
        </w:rPr>
        <w:t xml:space="preserve">κπρόσωπο </w:t>
      </w:r>
      <w:r w:rsidR="005F1028" w:rsidRPr="000004E8">
        <w:rPr>
          <w:rFonts w:cstheme="minorHAnsi"/>
          <w:bCs/>
        </w:rPr>
        <w:t>φ</w:t>
      </w:r>
      <w:r w:rsidR="00612F0C" w:rsidRPr="000004E8">
        <w:rPr>
          <w:rFonts w:cstheme="minorHAnsi"/>
          <w:bCs/>
        </w:rPr>
        <w:t>ορτίου (</w:t>
      </w:r>
      <w:r w:rsidR="005F1028" w:rsidRPr="000004E8">
        <w:rPr>
          <w:rFonts w:cstheme="minorHAnsi"/>
          <w:bCs/>
        </w:rPr>
        <w:t>π</w:t>
      </w:r>
      <w:r w:rsidR="00612F0C" w:rsidRPr="000004E8">
        <w:rPr>
          <w:rFonts w:cstheme="minorHAnsi"/>
          <w:bCs/>
        </w:rPr>
        <w:t xml:space="preserve">ρομηθευτή ηλεκτρικής ενέργειας και </w:t>
      </w:r>
      <w:r w:rsidR="005F1028" w:rsidRPr="000004E8">
        <w:rPr>
          <w:rFonts w:cstheme="minorHAnsi"/>
          <w:bCs/>
        </w:rPr>
        <w:t>α</w:t>
      </w:r>
      <w:r w:rsidR="00612F0C" w:rsidRPr="000004E8">
        <w:rPr>
          <w:rFonts w:cstheme="minorHAnsi"/>
          <w:bCs/>
        </w:rPr>
        <w:t>υτοπρομηθευόμενο Πελάτη), η οποία</w:t>
      </w:r>
      <w:r w:rsidR="003E18A7" w:rsidRPr="000004E8">
        <w:rPr>
          <w:rFonts w:cstheme="minorHAnsi"/>
          <w:bCs/>
        </w:rPr>
        <w:t xml:space="preserve"> </w:t>
      </w:r>
      <w:r w:rsidR="00612F0C" w:rsidRPr="000004E8">
        <w:rPr>
          <w:rFonts w:cstheme="minorHAnsi"/>
          <w:bCs/>
        </w:rPr>
        <w:t xml:space="preserve">καθορίζεται σε δύο (2) ευρώ </w:t>
      </w:r>
      <w:r w:rsidR="005F1028" w:rsidRPr="000004E8">
        <w:rPr>
          <w:rFonts w:cstheme="minorHAnsi"/>
          <w:bCs/>
        </w:rPr>
        <w:t>ανά</w:t>
      </w:r>
      <w:r w:rsidR="00612F0C" w:rsidRPr="000004E8">
        <w:rPr>
          <w:rFonts w:cstheme="minorHAnsi"/>
          <w:bCs/>
        </w:rPr>
        <w:t xml:space="preserve"> </w:t>
      </w:r>
      <w:r w:rsidR="005F1028" w:rsidRPr="000004E8">
        <w:rPr>
          <w:rFonts w:cstheme="minorHAnsi"/>
          <w:bCs/>
        </w:rPr>
        <w:t>μεγαβατώρα (</w:t>
      </w:r>
      <w:r w:rsidR="00612F0C" w:rsidRPr="000004E8">
        <w:rPr>
          <w:rFonts w:cstheme="minorHAnsi"/>
          <w:bCs/>
        </w:rPr>
        <w:t>MWh</w:t>
      </w:r>
      <w:r w:rsidR="005F1028" w:rsidRPr="000004E8">
        <w:rPr>
          <w:rFonts w:cstheme="minorHAnsi"/>
          <w:bCs/>
        </w:rPr>
        <w:t>)</w:t>
      </w:r>
      <w:r w:rsidR="00612F0C" w:rsidRPr="000004E8">
        <w:rPr>
          <w:rFonts w:cstheme="minorHAnsi"/>
          <w:bCs/>
        </w:rPr>
        <w:t xml:space="preserve"> </w:t>
      </w:r>
      <w:r w:rsidR="004D7F44" w:rsidRPr="000004E8">
        <w:rPr>
          <w:rFonts w:cs="Calibri"/>
        </w:rPr>
        <w:t>για μεν το διασυνδεδέμενο σύστημα και το διασυνδεδέμενο δίκτυο επί των ποσοτήτων των δηλώσεων φορτίου των εκπροσώπων φορτίου που εντάχθηκαν στον ημερήσιο ενεργειακό προγραμματισμό για το</w:t>
      </w:r>
      <w:r w:rsidR="009A100B">
        <w:rPr>
          <w:rFonts w:cs="Calibri"/>
        </w:rPr>
        <w:t>ν</w:t>
      </w:r>
      <w:r w:rsidR="004D7F44" w:rsidRPr="000004E8">
        <w:rPr>
          <w:rFonts w:cs="Calibri"/>
        </w:rPr>
        <w:t xml:space="preserve"> μετρητή ή τους μετρητές που εκπροσωπούν στο διασυνδεδεμένο σύστημα και δίκτυο για τις ημέρες κατανομής από την 1</w:t>
      </w:r>
      <w:r w:rsidR="009A100B">
        <w:rPr>
          <w:rFonts w:cs="Calibri"/>
        </w:rPr>
        <w:t>η</w:t>
      </w:r>
      <w:r w:rsidR="004D7F44" w:rsidRPr="000004E8">
        <w:rPr>
          <w:rFonts w:cs="Calibri"/>
        </w:rPr>
        <w:t>.1.2020 μέχρι και την 31.10.2020 και βάσει της καθαρής θέσης των εκκαθαρισθεισών εντολών αγοράς και πώλησης των εκπροσώπων φορτίου στην αγορά επόμενης ημέρας και την ενδοημερήσια αγορά για τις ημέρες εκπλήρωσης φυσικής παράδοσης από την 1</w:t>
      </w:r>
      <w:r w:rsidR="009A100B">
        <w:rPr>
          <w:rFonts w:cs="Calibri"/>
        </w:rPr>
        <w:t>η</w:t>
      </w:r>
      <w:r w:rsidR="004D7F44" w:rsidRPr="000004E8">
        <w:rPr>
          <w:rFonts w:cs="Calibri"/>
        </w:rPr>
        <w:t xml:space="preserve">.11.2020 μέχρι και την 31.12.2020, για δε τα </w:t>
      </w:r>
      <w:r w:rsidR="005741B6" w:rsidRPr="000004E8">
        <w:rPr>
          <w:rFonts w:cs="Calibri"/>
        </w:rPr>
        <w:t>Μ</w:t>
      </w:r>
      <w:r w:rsidR="00BC382D">
        <w:rPr>
          <w:rFonts w:cs="Calibri"/>
        </w:rPr>
        <w:t>.</w:t>
      </w:r>
      <w:r w:rsidR="005741B6" w:rsidRPr="000004E8">
        <w:rPr>
          <w:rFonts w:cs="Calibri"/>
        </w:rPr>
        <w:t>Δ</w:t>
      </w:r>
      <w:r w:rsidR="00BC382D">
        <w:rPr>
          <w:rFonts w:cs="Calibri"/>
        </w:rPr>
        <w:t>.</w:t>
      </w:r>
      <w:r w:rsidR="005741B6" w:rsidRPr="000004E8">
        <w:rPr>
          <w:rFonts w:cs="Calibri"/>
        </w:rPr>
        <w:t>Ν</w:t>
      </w:r>
      <w:r w:rsidR="00BC382D">
        <w:rPr>
          <w:rFonts w:cs="Calibri"/>
        </w:rPr>
        <w:t>.</w:t>
      </w:r>
      <w:r w:rsidR="004D7F44" w:rsidRPr="000004E8">
        <w:rPr>
          <w:rFonts w:cs="Calibri"/>
        </w:rPr>
        <w:t xml:space="preserve"> επί της παραγόμενης ενέργειας που του αναλογεί κατά το ποσοστό εκπροσώπησής του, σύμφωνα με τις μηνιαίες εκκαθαρίσεις του Δ</w:t>
      </w:r>
      <w:r w:rsidR="002D711D">
        <w:rPr>
          <w:rFonts w:cs="Calibri"/>
        </w:rPr>
        <w:t>.</w:t>
      </w:r>
      <w:r w:rsidR="004D7F44" w:rsidRPr="000004E8">
        <w:rPr>
          <w:rFonts w:cs="Calibri"/>
        </w:rPr>
        <w:t>Ε</w:t>
      </w:r>
      <w:r w:rsidR="002D711D">
        <w:rPr>
          <w:rFonts w:cs="Calibri"/>
        </w:rPr>
        <w:t>.</w:t>
      </w:r>
      <w:r w:rsidR="004D7F44" w:rsidRPr="000004E8">
        <w:rPr>
          <w:rFonts w:cs="Calibri"/>
        </w:rPr>
        <w:t>Δ</w:t>
      </w:r>
      <w:r w:rsidR="002D711D">
        <w:rPr>
          <w:rFonts w:cs="Calibri"/>
        </w:rPr>
        <w:t>.</w:t>
      </w:r>
      <w:r w:rsidR="004D7F44" w:rsidRPr="000004E8">
        <w:rPr>
          <w:rFonts w:cs="Calibri"/>
        </w:rPr>
        <w:t>Δ</w:t>
      </w:r>
      <w:r w:rsidR="002D711D">
        <w:rPr>
          <w:rFonts w:cs="Calibri"/>
        </w:rPr>
        <w:t>.</w:t>
      </w:r>
      <w:r w:rsidR="004D7F44" w:rsidRPr="000004E8">
        <w:rPr>
          <w:rFonts w:cs="Calibri"/>
        </w:rPr>
        <w:t>Η</w:t>
      </w:r>
      <w:r w:rsidR="002D711D">
        <w:rPr>
          <w:rFonts w:cs="Calibri"/>
        </w:rPr>
        <w:t>.</w:t>
      </w:r>
      <w:r w:rsidR="004D7F44" w:rsidRPr="000004E8">
        <w:rPr>
          <w:rFonts w:cs="Calibri"/>
        </w:rPr>
        <w:t>Ε</w:t>
      </w:r>
      <w:r w:rsidR="002D711D">
        <w:rPr>
          <w:rFonts w:cs="Calibri"/>
        </w:rPr>
        <w:t>.</w:t>
      </w:r>
      <w:r w:rsidR="004D7F44" w:rsidRPr="000004E8">
        <w:rPr>
          <w:rFonts w:cs="Calibri"/>
        </w:rPr>
        <w:t>, ως Διαχειριστή Μ</w:t>
      </w:r>
      <w:r w:rsidR="00BC382D">
        <w:rPr>
          <w:rFonts w:cs="Calibri"/>
        </w:rPr>
        <w:t>.</w:t>
      </w:r>
      <w:r w:rsidR="004D7F44" w:rsidRPr="000004E8">
        <w:rPr>
          <w:rFonts w:cs="Calibri"/>
        </w:rPr>
        <w:t>Δ</w:t>
      </w:r>
      <w:r w:rsidR="00BC382D">
        <w:rPr>
          <w:rFonts w:cs="Calibri"/>
        </w:rPr>
        <w:t>.</w:t>
      </w:r>
      <w:r w:rsidR="004D7F44" w:rsidRPr="000004E8">
        <w:rPr>
          <w:rFonts w:cs="Calibri"/>
        </w:rPr>
        <w:t>Ν</w:t>
      </w:r>
      <w:r w:rsidR="00BC382D">
        <w:rPr>
          <w:rFonts w:cs="Calibri"/>
        </w:rPr>
        <w:t>.</w:t>
      </w:r>
      <w:r w:rsidR="004D7F44" w:rsidRPr="000004E8">
        <w:rPr>
          <w:rFonts w:cs="Calibri"/>
        </w:rPr>
        <w:t>, κατά το έτος 2020.</w:t>
      </w:r>
    </w:p>
    <w:p w14:paraId="5A90E8D2" w14:textId="45BECFFB" w:rsidR="00612F0C" w:rsidRPr="000004E8" w:rsidRDefault="008C279F" w:rsidP="008C279F">
      <w:pPr>
        <w:pStyle w:val="a3"/>
        <w:spacing w:after="200" w:line="300" w:lineRule="auto"/>
        <w:ind w:left="714"/>
        <w:jc w:val="both"/>
        <w:rPr>
          <w:rFonts w:cstheme="minorHAnsi"/>
          <w:bCs/>
        </w:rPr>
      </w:pPr>
      <w:r w:rsidRPr="000004E8">
        <w:rPr>
          <w:rFonts w:cstheme="minorHAnsi"/>
          <w:bCs/>
        </w:rPr>
        <w:t xml:space="preserve">β) </w:t>
      </w:r>
      <w:r w:rsidR="00612F0C" w:rsidRPr="000004E8">
        <w:rPr>
          <w:rFonts w:cstheme="minorHAnsi"/>
          <w:bCs/>
        </w:rPr>
        <w:t xml:space="preserve">H έκτακτη χρέωση </w:t>
      </w:r>
      <w:r w:rsidR="00A0147C" w:rsidRPr="000004E8">
        <w:rPr>
          <w:rFonts w:cstheme="minorHAnsi"/>
          <w:bCs/>
        </w:rPr>
        <w:t xml:space="preserve">της </w:t>
      </w:r>
      <w:r w:rsidR="009C2D4C" w:rsidRPr="000004E8">
        <w:rPr>
          <w:rFonts w:cstheme="minorHAnsi"/>
          <w:bCs/>
        </w:rPr>
        <w:t xml:space="preserve">παρούσας </w:t>
      </w:r>
      <w:r w:rsidR="00612F0C" w:rsidRPr="000004E8">
        <w:rPr>
          <w:rFonts w:cstheme="minorHAnsi"/>
          <w:bCs/>
        </w:rPr>
        <w:t>αποτελεί</w:t>
      </w:r>
      <w:r w:rsidR="005741B6" w:rsidRPr="000004E8">
        <w:rPr>
          <w:rFonts w:cstheme="minorHAnsi"/>
          <w:bCs/>
        </w:rPr>
        <w:t xml:space="preserve"> </w:t>
      </w:r>
      <w:r w:rsidR="00612F0C" w:rsidRPr="000004E8">
        <w:rPr>
          <w:rFonts w:cstheme="minorHAnsi"/>
          <w:bCs/>
        </w:rPr>
        <w:t>έσοδο</w:t>
      </w:r>
      <w:r w:rsidR="005741B6" w:rsidRPr="000004E8">
        <w:rPr>
          <w:rFonts w:cstheme="minorHAnsi"/>
          <w:bCs/>
        </w:rPr>
        <w:t xml:space="preserve"> ή</w:t>
      </w:r>
      <w:r w:rsidR="00612F0C" w:rsidRPr="000004E8">
        <w:rPr>
          <w:rFonts w:cstheme="minorHAnsi"/>
          <w:bCs/>
        </w:rPr>
        <w:t xml:space="preserve"> του </w:t>
      </w:r>
      <w:r w:rsidR="005F1028" w:rsidRPr="000004E8">
        <w:rPr>
          <w:rFonts w:cstheme="minorHAnsi"/>
          <w:bCs/>
        </w:rPr>
        <w:t>υ</w:t>
      </w:r>
      <w:r w:rsidR="00612F0C" w:rsidRPr="000004E8">
        <w:rPr>
          <w:rFonts w:cstheme="minorHAnsi"/>
          <w:bCs/>
        </w:rPr>
        <w:t xml:space="preserve">πολογαριασμού </w:t>
      </w:r>
      <w:r w:rsidR="005F1028" w:rsidRPr="000004E8">
        <w:rPr>
          <w:rFonts w:cstheme="minorHAnsi"/>
          <w:bCs/>
        </w:rPr>
        <w:t>ε</w:t>
      </w:r>
      <w:r w:rsidR="00612F0C" w:rsidRPr="000004E8">
        <w:rPr>
          <w:rFonts w:cstheme="minorHAnsi"/>
          <w:bCs/>
        </w:rPr>
        <w:t xml:space="preserve">νισχύσεων του </w:t>
      </w:r>
      <w:r w:rsidR="005F1028" w:rsidRPr="000004E8">
        <w:rPr>
          <w:rFonts w:cstheme="minorHAnsi"/>
          <w:bCs/>
        </w:rPr>
        <w:t>ε</w:t>
      </w:r>
      <w:r w:rsidR="00612F0C" w:rsidRPr="000004E8">
        <w:rPr>
          <w:rFonts w:cstheme="minorHAnsi"/>
          <w:bCs/>
        </w:rPr>
        <w:t xml:space="preserve">ιδικού </w:t>
      </w:r>
      <w:r w:rsidR="005F1028" w:rsidRPr="000004E8">
        <w:rPr>
          <w:rFonts w:cstheme="minorHAnsi"/>
          <w:bCs/>
        </w:rPr>
        <w:t>λ</w:t>
      </w:r>
      <w:r w:rsidR="00612F0C" w:rsidRPr="000004E8">
        <w:rPr>
          <w:rFonts w:cstheme="minorHAnsi"/>
          <w:bCs/>
        </w:rPr>
        <w:t xml:space="preserve">ογαριασμού Α.Π.Ε. και Σ.Η.Θ.Υ.Α. </w:t>
      </w:r>
      <w:r w:rsidR="005F1028" w:rsidRPr="000004E8">
        <w:rPr>
          <w:rFonts w:cstheme="minorHAnsi"/>
          <w:bCs/>
        </w:rPr>
        <w:t>δ</w:t>
      </w:r>
      <w:r w:rsidR="00612F0C" w:rsidRPr="000004E8">
        <w:rPr>
          <w:rFonts w:cstheme="minorHAnsi"/>
          <w:bCs/>
        </w:rPr>
        <w:t xml:space="preserve">ιασυνδεδεμένου </w:t>
      </w:r>
      <w:r w:rsidR="005F1028" w:rsidRPr="000004E8">
        <w:rPr>
          <w:rFonts w:cstheme="minorHAnsi"/>
          <w:bCs/>
        </w:rPr>
        <w:t>σ</w:t>
      </w:r>
      <w:r w:rsidR="00612F0C" w:rsidRPr="000004E8">
        <w:rPr>
          <w:rFonts w:cstheme="minorHAnsi"/>
          <w:bCs/>
        </w:rPr>
        <w:t xml:space="preserve">υστήματος και </w:t>
      </w:r>
      <w:r w:rsidR="005F1028" w:rsidRPr="000004E8">
        <w:rPr>
          <w:rFonts w:cstheme="minorHAnsi"/>
          <w:bCs/>
        </w:rPr>
        <w:t>δ</w:t>
      </w:r>
      <w:r w:rsidR="00612F0C" w:rsidRPr="000004E8">
        <w:rPr>
          <w:rFonts w:cstheme="minorHAnsi"/>
          <w:bCs/>
        </w:rPr>
        <w:t xml:space="preserve">ικτύου </w:t>
      </w:r>
      <w:r w:rsidR="005741B6" w:rsidRPr="000004E8">
        <w:rPr>
          <w:rFonts w:cstheme="minorHAnsi"/>
          <w:bCs/>
        </w:rPr>
        <w:t>ή</w:t>
      </w:r>
      <w:r w:rsidR="00612F0C" w:rsidRPr="000004E8">
        <w:rPr>
          <w:rFonts w:cstheme="minorHAnsi"/>
          <w:bCs/>
        </w:rPr>
        <w:t xml:space="preserve"> του </w:t>
      </w:r>
      <w:r w:rsidR="005F1028" w:rsidRPr="000004E8">
        <w:rPr>
          <w:rFonts w:cstheme="minorHAnsi"/>
          <w:bCs/>
        </w:rPr>
        <w:t>υ</w:t>
      </w:r>
      <w:r w:rsidR="00612F0C" w:rsidRPr="000004E8">
        <w:rPr>
          <w:rFonts w:cstheme="minorHAnsi"/>
          <w:bCs/>
        </w:rPr>
        <w:t>πολογαριασμού</w:t>
      </w:r>
      <w:r w:rsidR="00A0147C" w:rsidRPr="000004E8">
        <w:rPr>
          <w:rFonts w:cstheme="minorHAnsi"/>
          <w:bCs/>
        </w:rPr>
        <w:t xml:space="preserve"> </w:t>
      </w:r>
      <w:r w:rsidR="005F1028" w:rsidRPr="000004E8">
        <w:rPr>
          <w:rFonts w:cstheme="minorHAnsi"/>
          <w:bCs/>
        </w:rPr>
        <w:t>ε</w:t>
      </w:r>
      <w:r w:rsidR="00612F0C" w:rsidRPr="000004E8">
        <w:rPr>
          <w:rFonts w:cstheme="minorHAnsi"/>
          <w:bCs/>
        </w:rPr>
        <w:t xml:space="preserve">νισχύσεων του </w:t>
      </w:r>
      <w:r w:rsidR="005F1028" w:rsidRPr="000004E8">
        <w:rPr>
          <w:rFonts w:cstheme="minorHAnsi"/>
          <w:bCs/>
        </w:rPr>
        <w:t>ε</w:t>
      </w:r>
      <w:r w:rsidR="00612F0C" w:rsidRPr="000004E8">
        <w:rPr>
          <w:rFonts w:cstheme="minorHAnsi"/>
          <w:bCs/>
        </w:rPr>
        <w:t xml:space="preserve">ιδικού </w:t>
      </w:r>
      <w:r w:rsidR="005F1028" w:rsidRPr="000004E8">
        <w:rPr>
          <w:rFonts w:cstheme="minorHAnsi"/>
          <w:bCs/>
        </w:rPr>
        <w:t>λ</w:t>
      </w:r>
      <w:r w:rsidR="00612F0C" w:rsidRPr="000004E8">
        <w:rPr>
          <w:rFonts w:cstheme="minorHAnsi"/>
          <w:bCs/>
        </w:rPr>
        <w:t xml:space="preserve">ογαριασμού </w:t>
      </w:r>
      <w:r w:rsidR="005F1028" w:rsidRPr="000004E8">
        <w:rPr>
          <w:rFonts w:cstheme="minorHAnsi"/>
          <w:bCs/>
        </w:rPr>
        <w:t>ε</w:t>
      </w:r>
      <w:r w:rsidR="00612F0C" w:rsidRPr="000004E8">
        <w:rPr>
          <w:rFonts w:cstheme="minorHAnsi"/>
          <w:bCs/>
        </w:rPr>
        <w:t xml:space="preserve">νέργειας Α.Π.Ε. και Σ.Η.Θ.Υ.Α. </w:t>
      </w:r>
      <w:r w:rsidR="005741B6" w:rsidRPr="000004E8">
        <w:rPr>
          <w:rFonts w:cstheme="minorHAnsi"/>
          <w:bCs/>
        </w:rPr>
        <w:t>Μ</w:t>
      </w:r>
      <w:r w:rsidR="00BC382D">
        <w:rPr>
          <w:rFonts w:cstheme="minorHAnsi"/>
          <w:bCs/>
        </w:rPr>
        <w:t>.</w:t>
      </w:r>
      <w:r w:rsidR="005741B6" w:rsidRPr="000004E8">
        <w:rPr>
          <w:rFonts w:cstheme="minorHAnsi"/>
          <w:bCs/>
        </w:rPr>
        <w:t>Δ</w:t>
      </w:r>
      <w:r w:rsidR="00BC382D">
        <w:rPr>
          <w:rFonts w:cstheme="minorHAnsi"/>
          <w:bCs/>
        </w:rPr>
        <w:t>.</w:t>
      </w:r>
      <w:r w:rsidR="005741B6" w:rsidRPr="000004E8">
        <w:rPr>
          <w:rFonts w:cstheme="minorHAnsi"/>
          <w:bCs/>
        </w:rPr>
        <w:t>Ν</w:t>
      </w:r>
      <w:r w:rsidR="00BC382D">
        <w:rPr>
          <w:rFonts w:cstheme="minorHAnsi"/>
          <w:bCs/>
        </w:rPr>
        <w:t>.</w:t>
      </w:r>
      <w:r w:rsidR="00612F0C" w:rsidRPr="000004E8">
        <w:rPr>
          <w:rFonts w:cstheme="minorHAnsi"/>
          <w:bCs/>
        </w:rPr>
        <w:t xml:space="preserve">. </w:t>
      </w:r>
    </w:p>
    <w:p w14:paraId="5E5B2F0E" w14:textId="6759A5E3" w:rsidR="00C72906" w:rsidRPr="000004E8" w:rsidRDefault="00C72906" w:rsidP="00C72906">
      <w:pPr>
        <w:pStyle w:val="a3"/>
        <w:spacing w:after="200" w:line="300" w:lineRule="auto"/>
        <w:ind w:left="714"/>
        <w:jc w:val="both"/>
        <w:rPr>
          <w:rFonts w:cs="Calibri"/>
          <w:color w:val="000000"/>
        </w:rPr>
      </w:pPr>
      <w:r w:rsidRPr="000004E8">
        <w:rPr>
          <w:rFonts w:cs="Calibri"/>
          <w:color w:val="000000"/>
        </w:rPr>
        <w:t>Τα ποσά της χρέωσης για έκαστο των μηνών του έτους 2020 υπ</w:t>
      </w:r>
      <w:r w:rsidR="000C7679" w:rsidRPr="000004E8">
        <w:rPr>
          <w:rFonts w:cs="Calibri"/>
          <w:color w:val="000000"/>
        </w:rPr>
        <w:t>ολογίζονται από τους αρμόδιους δ</w:t>
      </w:r>
      <w:r w:rsidRPr="000004E8">
        <w:rPr>
          <w:rFonts w:cs="Calibri"/>
          <w:color w:val="000000"/>
        </w:rPr>
        <w:t>ιαχειριστές, Δ</w:t>
      </w:r>
      <w:r w:rsidR="00DE1895">
        <w:rPr>
          <w:rFonts w:cs="Calibri"/>
          <w:color w:val="000000"/>
        </w:rPr>
        <w:t>.</w:t>
      </w:r>
      <w:r w:rsidRPr="000004E8">
        <w:rPr>
          <w:rFonts w:cs="Calibri"/>
          <w:color w:val="000000"/>
        </w:rPr>
        <w:t>Α</w:t>
      </w:r>
      <w:r w:rsidR="00DE1895">
        <w:rPr>
          <w:rFonts w:cs="Calibri"/>
          <w:color w:val="000000"/>
        </w:rPr>
        <w:t>.</w:t>
      </w:r>
      <w:r w:rsidRPr="000004E8">
        <w:rPr>
          <w:rFonts w:cs="Calibri"/>
          <w:color w:val="000000"/>
        </w:rPr>
        <w:t>Π</w:t>
      </w:r>
      <w:r w:rsidR="00DE1895">
        <w:rPr>
          <w:rFonts w:cs="Calibri"/>
          <w:color w:val="000000"/>
        </w:rPr>
        <w:t>.</w:t>
      </w:r>
      <w:r w:rsidRPr="000004E8">
        <w:rPr>
          <w:rFonts w:cs="Calibri"/>
          <w:color w:val="000000"/>
        </w:rPr>
        <w:t>Ε</w:t>
      </w:r>
      <w:r w:rsidR="00DE1895">
        <w:rPr>
          <w:rFonts w:cs="Calibri"/>
          <w:color w:val="000000"/>
        </w:rPr>
        <w:t>.</w:t>
      </w:r>
      <w:r w:rsidRPr="000004E8">
        <w:rPr>
          <w:rFonts w:cs="Calibri"/>
          <w:color w:val="000000"/>
        </w:rPr>
        <w:t>Ε</w:t>
      </w:r>
      <w:r w:rsidR="00DE1895">
        <w:rPr>
          <w:rFonts w:cs="Calibri"/>
          <w:color w:val="000000"/>
        </w:rPr>
        <w:t>.</w:t>
      </w:r>
      <w:r w:rsidRPr="000004E8">
        <w:rPr>
          <w:rFonts w:cs="Calibri"/>
          <w:color w:val="000000"/>
        </w:rPr>
        <w:t>Π</w:t>
      </w:r>
      <w:r w:rsidR="00DE1895">
        <w:rPr>
          <w:rFonts w:cs="Calibri"/>
          <w:color w:val="000000"/>
        </w:rPr>
        <w:t>.</w:t>
      </w:r>
      <w:r w:rsidRPr="000004E8">
        <w:rPr>
          <w:rFonts w:cs="Calibri"/>
          <w:color w:val="000000"/>
        </w:rPr>
        <w:t xml:space="preserve"> Α</w:t>
      </w:r>
      <w:r w:rsidR="00DE1895">
        <w:rPr>
          <w:rFonts w:cs="Calibri"/>
          <w:color w:val="000000"/>
        </w:rPr>
        <w:t>.</w:t>
      </w:r>
      <w:r w:rsidRPr="000004E8">
        <w:rPr>
          <w:rFonts w:cs="Calibri"/>
          <w:color w:val="000000"/>
        </w:rPr>
        <w:t>Ε</w:t>
      </w:r>
      <w:r w:rsidR="00DE1895">
        <w:rPr>
          <w:rFonts w:cs="Calibri"/>
          <w:color w:val="000000"/>
        </w:rPr>
        <w:t>.</w:t>
      </w:r>
      <w:r w:rsidRPr="000004E8">
        <w:rPr>
          <w:rFonts w:cs="Calibri"/>
          <w:color w:val="000000"/>
        </w:rPr>
        <w:t xml:space="preserve"> για</w:t>
      </w:r>
      <w:r w:rsidR="00A25781" w:rsidRPr="000004E8">
        <w:rPr>
          <w:rFonts w:cs="Calibri"/>
          <w:color w:val="000000"/>
        </w:rPr>
        <w:t xml:space="preserve"> το διασυνδεδεμένο σύστημα και δ</w:t>
      </w:r>
      <w:r w:rsidRPr="000004E8">
        <w:rPr>
          <w:rFonts w:cs="Calibri"/>
          <w:color w:val="000000"/>
        </w:rPr>
        <w:t xml:space="preserve">ιασυνδεδεμένο </w:t>
      </w:r>
      <w:r w:rsidR="00A25781" w:rsidRPr="000004E8">
        <w:rPr>
          <w:rFonts w:cs="Calibri"/>
          <w:color w:val="000000"/>
        </w:rPr>
        <w:t>δ</w:t>
      </w:r>
      <w:r w:rsidR="000C7679" w:rsidRPr="000004E8">
        <w:rPr>
          <w:rFonts w:cs="Calibri"/>
          <w:color w:val="000000"/>
        </w:rPr>
        <w:t>ίκτυο και Δ</w:t>
      </w:r>
      <w:r w:rsidR="00BC382D">
        <w:rPr>
          <w:rFonts w:cs="Calibri"/>
          <w:color w:val="000000"/>
        </w:rPr>
        <w:t>.</w:t>
      </w:r>
      <w:r w:rsidR="000C7679" w:rsidRPr="000004E8">
        <w:rPr>
          <w:rFonts w:cs="Calibri"/>
          <w:color w:val="000000"/>
        </w:rPr>
        <w:t>Ε</w:t>
      </w:r>
      <w:r w:rsidR="00BC382D">
        <w:rPr>
          <w:rFonts w:cs="Calibri"/>
          <w:color w:val="000000"/>
        </w:rPr>
        <w:t>.</w:t>
      </w:r>
      <w:r w:rsidR="000C7679" w:rsidRPr="000004E8">
        <w:rPr>
          <w:rFonts w:cs="Calibri"/>
          <w:color w:val="000000"/>
        </w:rPr>
        <w:t>Δ</w:t>
      </w:r>
      <w:r w:rsidR="00BC382D">
        <w:rPr>
          <w:rFonts w:cs="Calibri"/>
          <w:color w:val="000000"/>
        </w:rPr>
        <w:t>.</w:t>
      </w:r>
      <w:r w:rsidR="000C7679" w:rsidRPr="000004E8">
        <w:rPr>
          <w:rFonts w:cs="Calibri"/>
          <w:color w:val="000000"/>
        </w:rPr>
        <w:t>Δ</w:t>
      </w:r>
      <w:r w:rsidR="00BC382D">
        <w:rPr>
          <w:rFonts w:cs="Calibri"/>
          <w:color w:val="000000"/>
        </w:rPr>
        <w:t>.</w:t>
      </w:r>
      <w:r w:rsidR="000C7679" w:rsidRPr="000004E8">
        <w:rPr>
          <w:rFonts w:cs="Calibri"/>
          <w:color w:val="000000"/>
        </w:rPr>
        <w:t>Η</w:t>
      </w:r>
      <w:r w:rsidR="00BC382D">
        <w:rPr>
          <w:rFonts w:cs="Calibri"/>
          <w:color w:val="000000"/>
        </w:rPr>
        <w:t>.</w:t>
      </w:r>
      <w:r w:rsidR="000C7679" w:rsidRPr="000004E8">
        <w:rPr>
          <w:rFonts w:cs="Calibri"/>
          <w:color w:val="000000"/>
        </w:rPr>
        <w:t>Ε</w:t>
      </w:r>
      <w:r w:rsidR="00BC382D">
        <w:rPr>
          <w:rFonts w:cs="Calibri"/>
          <w:color w:val="000000"/>
        </w:rPr>
        <w:t>.</w:t>
      </w:r>
      <w:r w:rsidR="000C7679" w:rsidRPr="000004E8">
        <w:rPr>
          <w:rFonts w:cs="Calibri"/>
          <w:color w:val="000000"/>
        </w:rPr>
        <w:t xml:space="preserve"> Α</w:t>
      </w:r>
      <w:r w:rsidR="00BC382D">
        <w:rPr>
          <w:rFonts w:cs="Calibri"/>
          <w:color w:val="000000"/>
        </w:rPr>
        <w:t>.</w:t>
      </w:r>
      <w:r w:rsidR="000C7679" w:rsidRPr="000004E8">
        <w:rPr>
          <w:rFonts w:cs="Calibri"/>
          <w:color w:val="000000"/>
        </w:rPr>
        <w:t>Ε</w:t>
      </w:r>
      <w:r w:rsidR="00BC382D">
        <w:rPr>
          <w:rFonts w:cs="Calibri"/>
          <w:color w:val="000000"/>
        </w:rPr>
        <w:t>.</w:t>
      </w:r>
      <w:r w:rsidR="000C7679" w:rsidRPr="000004E8">
        <w:rPr>
          <w:rFonts w:cs="Calibri"/>
          <w:color w:val="000000"/>
        </w:rPr>
        <w:t xml:space="preserve"> για τα </w:t>
      </w:r>
      <w:r w:rsidR="005741B6" w:rsidRPr="000004E8">
        <w:rPr>
          <w:rFonts w:cs="Calibri"/>
          <w:color w:val="000000"/>
        </w:rPr>
        <w:t>Μ</w:t>
      </w:r>
      <w:r w:rsidR="00BC382D">
        <w:rPr>
          <w:rFonts w:cs="Calibri"/>
          <w:color w:val="000000"/>
        </w:rPr>
        <w:t>.</w:t>
      </w:r>
      <w:r w:rsidR="005741B6" w:rsidRPr="000004E8">
        <w:rPr>
          <w:rFonts w:cs="Calibri"/>
          <w:color w:val="000000"/>
        </w:rPr>
        <w:t>Δ</w:t>
      </w:r>
      <w:r w:rsidR="00BC382D">
        <w:rPr>
          <w:rFonts w:cs="Calibri"/>
          <w:color w:val="000000"/>
        </w:rPr>
        <w:t>.</w:t>
      </w:r>
      <w:r w:rsidR="005741B6" w:rsidRPr="000004E8">
        <w:rPr>
          <w:rFonts w:cs="Calibri"/>
          <w:color w:val="000000"/>
        </w:rPr>
        <w:t>Ν</w:t>
      </w:r>
      <w:r w:rsidR="00BC382D">
        <w:rPr>
          <w:rFonts w:cs="Calibri"/>
          <w:color w:val="000000"/>
        </w:rPr>
        <w:t>.</w:t>
      </w:r>
      <w:r w:rsidRPr="000004E8">
        <w:rPr>
          <w:rFonts w:cs="Calibri"/>
          <w:color w:val="000000"/>
        </w:rPr>
        <w:t>, και αποστέλλονται σχετικά ενημερωτικά σημ</w:t>
      </w:r>
      <w:r w:rsidR="000C7679" w:rsidRPr="000004E8">
        <w:rPr>
          <w:rFonts w:cs="Calibri"/>
          <w:color w:val="000000"/>
        </w:rPr>
        <w:t>ειώματα στους εκπροσώπους φ</w:t>
      </w:r>
      <w:r w:rsidRPr="000004E8">
        <w:rPr>
          <w:rFonts w:cs="Calibri"/>
          <w:color w:val="000000"/>
        </w:rPr>
        <w:t xml:space="preserve">ορτίου. Η </w:t>
      </w:r>
      <w:r w:rsidR="005741B6" w:rsidRPr="000004E8">
        <w:rPr>
          <w:rFonts w:cs="Calibri"/>
          <w:color w:val="000000"/>
        </w:rPr>
        <w:t>Ανώνυμη Εταιρεία με την επωνυμία Ελληνικό Χρηματιστήριο Ενέργειας (</w:t>
      </w:r>
      <w:r w:rsidRPr="000004E8">
        <w:rPr>
          <w:rFonts w:cs="Calibri"/>
          <w:color w:val="000000"/>
        </w:rPr>
        <w:t>Ε</w:t>
      </w:r>
      <w:r w:rsidR="00BC382D">
        <w:rPr>
          <w:rFonts w:cs="Calibri"/>
          <w:color w:val="000000"/>
        </w:rPr>
        <w:t>.</w:t>
      </w:r>
      <w:r w:rsidRPr="000004E8">
        <w:rPr>
          <w:rFonts w:cs="Calibri"/>
          <w:color w:val="000000"/>
        </w:rPr>
        <w:t>Χ</w:t>
      </w:r>
      <w:r w:rsidR="00BC382D">
        <w:rPr>
          <w:rFonts w:cs="Calibri"/>
          <w:color w:val="000000"/>
        </w:rPr>
        <w:t>.</w:t>
      </w:r>
      <w:r w:rsidRPr="000004E8">
        <w:rPr>
          <w:rFonts w:cs="Calibri"/>
          <w:color w:val="000000"/>
        </w:rPr>
        <w:t>Ε</w:t>
      </w:r>
      <w:r w:rsidR="00BC382D">
        <w:rPr>
          <w:rFonts w:cs="Calibri"/>
          <w:color w:val="000000"/>
        </w:rPr>
        <w:t>.</w:t>
      </w:r>
      <w:r w:rsidRPr="000004E8">
        <w:rPr>
          <w:rFonts w:cs="Calibri"/>
          <w:color w:val="000000"/>
        </w:rPr>
        <w:t xml:space="preserve"> Α.Ε.</w:t>
      </w:r>
      <w:r w:rsidR="005741B6" w:rsidRPr="000004E8">
        <w:rPr>
          <w:rFonts w:cs="Calibri"/>
          <w:color w:val="000000"/>
        </w:rPr>
        <w:t>)</w:t>
      </w:r>
      <w:r w:rsidRPr="000004E8">
        <w:rPr>
          <w:rFonts w:cs="Calibri"/>
          <w:color w:val="000000"/>
        </w:rPr>
        <w:t>  παρέχει τα απαραίτητα στοιχεία στην Δ</w:t>
      </w:r>
      <w:r w:rsidR="002D711D">
        <w:rPr>
          <w:rFonts w:cs="Calibri"/>
          <w:color w:val="000000"/>
        </w:rPr>
        <w:t>.</w:t>
      </w:r>
      <w:r w:rsidRPr="000004E8">
        <w:rPr>
          <w:rFonts w:cs="Calibri"/>
          <w:color w:val="000000"/>
        </w:rPr>
        <w:t>Α</w:t>
      </w:r>
      <w:r w:rsidR="002D711D">
        <w:rPr>
          <w:rFonts w:cs="Calibri"/>
          <w:color w:val="000000"/>
        </w:rPr>
        <w:t>.</w:t>
      </w:r>
      <w:r w:rsidRPr="000004E8">
        <w:rPr>
          <w:rFonts w:cs="Calibri"/>
          <w:color w:val="000000"/>
        </w:rPr>
        <w:t>Π</w:t>
      </w:r>
      <w:r w:rsidR="002D711D">
        <w:rPr>
          <w:rFonts w:cs="Calibri"/>
          <w:color w:val="000000"/>
        </w:rPr>
        <w:t>.</w:t>
      </w:r>
      <w:r w:rsidRPr="000004E8">
        <w:rPr>
          <w:rFonts w:cs="Calibri"/>
          <w:color w:val="000000"/>
        </w:rPr>
        <w:t>Ε</w:t>
      </w:r>
      <w:r w:rsidR="002D711D">
        <w:rPr>
          <w:rFonts w:cs="Calibri"/>
          <w:color w:val="000000"/>
        </w:rPr>
        <w:t>.</w:t>
      </w:r>
      <w:r w:rsidRPr="000004E8">
        <w:rPr>
          <w:rFonts w:cs="Calibri"/>
          <w:color w:val="000000"/>
        </w:rPr>
        <w:t>Ε</w:t>
      </w:r>
      <w:r w:rsidR="002D711D">
        <w:rPr>
          <w:rFonts w:cs="Calibri"/>
          <w:color w:val="000000"/>
        </w:rPr>
        <w:t>.</w:t>
      </w:r>
      <w:r w:rsidRPr="000004E8">
        <w:rPr>
          <w:rFonts w:cs="Calibri"/>
          <w:color w:val="000000"/>
        </w:rPr>
        <w:t>Π</w:t>
      </w:r>
      <w:r w:rsidR="002D711D">
        <w:rPr>
          <w:rFonts w:cs="Calibri"/>
          <w:color w:val="000000"/>
        </w:rPr>
        <w:t>.</w:t>
      </w:r>
      <w:r w:rsidRPr="000004E8">
        <w:rPr>
          <w:rFonts w:cs="Calibri"/>
          <w:color w:val="000000"/>
        </w:rPr>
        <w:t xml:space="preserve"> ΑΕ για τους απαιτούμενους υπολογισμούς της έκτακτης χρέωσης.</w:t>
      </w:r>
    </w:p>
    <w:p w14:paraId="6B2912A9" w14:textId="5FA217C9" w:rsidR="00C72906" w:rsidRPr="000004E8" w:rsidRDefault="00C72906" w:rsidP="00C72906">
      <w:pPr>
        <w:pStyle w:val="a3"/>
        <w:spacing w:after="200" w:line="300" w:lineRule="auto"/>
        <w:ind w:left="714"/>
        <w:jc w:val="both"/>
        <w:rPr>
          <w:rFonts w:cs="Calibri"/>
          <w:color w:val="000000"/>
        </w:rPr>
      </w:pPr>
      <w:r w:rsidRPr="000004E8">
        <w:rPr>
          <w:rFonts w:cs="Calibri"/>
          <w:color w:val="000000"/>
        </w:rPr>
        <w:lastRenderedPageBreak/>
        <w:t>Τα ποσά της εισφοράς για τους μήνες του έτους 2020 υπολογίζονται επί του προς τιμολόγηση ποσού εκάστου μήνα του έτους 2020, παρακρατούνται και συμψηφίζονται εντός του έτους 2021 με τις πληρωμές των τιμολογίων των αντ</w:t>
      </w:r>
      <w:r w:rsidR="00A25781" w:rsidRPr="000004E8">
        <w:rPr>
          <w:rFonts w:cs="Calibri"/>
          <w:color w:val="000000"/>
        </w:rPr>
        <w:t>ίστοιχων μηνών από τον αρμόδιο δ</w:t>
      </w:r>
      <w:r w:rsidRPr="000004E8">
        <w:rPr>
          <w:rFonts w:cs="Calibri"/>
          <w:color w:val="000000"/>
        </w:rPr>
        <w:t>ιαχειριστή</w:t>
      </w:r>
      <w:r w:rsidR="000C7679" w:rsidRPr="000004E8">
        <w:rPr>
          <w:rFonts w:cs="Calibri"/>
          <w:color w:val="000000"/>
        </w:rPr>
        <w:t xml:space="preserve"> προς τον εκπρόσωπο φ</w:t>
      </w:r>
      <w:r w:rsidRPr="000004E8">
        <w:rPr>
          <w:rFonts w:cs="Calibri"/>
          <w:color w:val="000000"/>
        </w:rPr>
        <w:t>ορτίου.</w:t>
      </w:r>
    </w:p>
    <w:p w14:paraId="3DA97E12" w14:textId="3CF857D9" w:rsidR="00917BA2" w:rsidRPr="000004E8" w:rsidRDefault="00DE1895" w:rsidP="008C279F">
      <w:pPr>
        <w:pStyle w:val="a3"/>
        <w:spacing w:after="200" w:line="300" w:lineRule="auto"/>
        <w:ind w:left="714"/>
        <w:jc w:val="both"/>
        <w:rPr>
          <w:rFonts w:cstheme="minorHAnsi"/>
          <w:bCs/>
        </w:rPr>
      </w:pPr>
      <w:r>
        <w:rPr>
          <w:rFonts w:cs="Calibri"/>
          <w:color w:val="000000"/>
        </w:rPr>
        <w:t>Σε περίπτωση</w:t>
      </w:r>
      <w:r w:rsidR="000C7679" w:rsidRPr="000004E8">
        <w:rPr>
          <w:rFonts w:cs="Calibri"/>
          <w:color w:val="000000"/>
        </w:rPr>
        <w:t xml:space="preserve"> διασύνδεσης </w:t>
      </w:r>
      <w:r w:rsidR="00917BA2" w:rsidRPr="000004E8">
        <w:rPr>
          <w:rFonts w:cs="Calibri"/>
          <w:color w:val="000000"/>
        </w:rPr>
        <w:t>των Μ</w:t>
      </w:r>
      <w:r w:rsidR="00BC382D">
        <w:rPr>
          <w:rFonts w:cs="Calibri"/>
          <w:color w:val="000000"/>
        </w:rPr>
        <w:t>.</w:t>
      </w:r>
      <w:r w:rsidR="00917BA2" w:rsidRPr="000004E8">
        <w:rPr>
          <w:rFonts w:cs="Calibri"/>
          <w:color w:val="000000"/>
        </w:rPr>
        <w:t>Δ</w:t>
      </w:r>
      <w:r w:rsidR="00BC382D">
        <w:rPr>
          <w:rFonts w:cs="Calibri"/>
          <w:color w:val="000000"/>
        </w:rPr>
        <w:t>.</w:t>
      </w:r>
      <w:r w:rsidR="00917BA2" w:rsidRPr="000004E8">
        <w:rPr>
          <w:rFonts w:cs="Calibri"/>
          <w:color w:val="000000"/>
        </w:rPr>
        <w:t>Ν</w:t>
      </w:r>
      <w:r w:rsidR="00BC382D">
        <w:rPr>
          <w:rFonts w:cs="Calibri"/>
          <w:color w:val="000000"/>
        </w:rPr>
        <w:t>.</w:t>
      </w:r>
      <w:r w:rsidR="000C7679" w:rsidRPr="000004E8">
        <w:rPr>
          <w:rFonts w:cs="Calibri"/>
          <w:color w:val="000000"/>
        </w:rPr>
        <w:t xml:space="preserve"> με το Ε</w:t>
      </w:r>
      <w:r w:rsidR="00C72906" w:rsidRPr="000004E8">
        <w:rPr>
          <w:rFonts w:cs="Calibri"/>
          <w:color w:val="000000"/>
        </w:rPr>
        <w:t>θνικό Σύστημα Μεταφοράς Ηλεκτρικής Ενέργειας εντός του έτους 2021, η υποχρέωση της συναλλαγής για τυχόν υπολειπόμενο ποσά υλοποιείται από την Δ</w:t>
      </w:r>
      <w:r w:rsidR="00BC382D">
        <w:rPr>
          <w:rFonts w:cs="Calibri"/>
          <w:color w:val="000000"/>
        </w:rPr>
        <w:t>.</w:t>
      </w:r>
      <w:r w:rsidR="00C72906" w:rsidRPr="000004E8">
        <w:rPr>
          <w:rFonts w:cs="Calibri"/>
          <w:color w:val="000000"/>
        </w:rPr>
        <w:t>Α</w:t>
      </w:r>
      <w:r w:rsidR="00BC382D">
        <w:rPr>
          <w:rFonts w:cs="Calibri"/>
          <w:color w:val="000000"/>
        </w:rPr>
        <w:t>.</w:t>
      </w:r>
      <w:r w:rsidR="00C72906" w:rsidRPr="000004E8">
        <w:rPr>
          <w:rFonts w:cs="Calibri"/>
          <w:color w:val="000000"/>
        </w:rPr>
        <w:t>Π</w:t>
      </w:r>
      <w:r w:rsidR="00BC382D">
        <w:rPr>
          <w:rFonts w:cs="Calibri"/>
          <w:color w:val="000000"/>
        </w:rPr>
        <w:t>.</w:t>
      </w:r>
      <w:r w:rsidR="00C72906" w:rsidRPr="000004E8">
        <w:rPr>
          <w:rFonts w:cs="Calibri"/>
          <w:color w:val="000000"/>
        </w:rPr>
        <w:t>Ε</w:t>
      </w:r>
      <w:r w:rsidR="00BC382D">
        <w:rPr>
          <w:rFonts w:cs="Calibri"/>
          <w:color w:val="000000"/>
        </w:rPr>
        <w:t>.</w:t>
      </w:r>
      <w:r w:rsidR="00C72906" w:rsidRPr="000004E8">
        <w:rPr>
          <w:rFonts w:cs="Calibri"/>
          <w:color w:val="000000"/>
        </w:rPr>
        <w:t>Ε</w:t>
      </w:r>
      <w:r w:rsidR="00BC382D">
        <w:rPr>
          <w:rFonts w:cs="Calibri"/>
          <w:color w:val="000000"/>
        </w:rPr>
        <w:t>.</w:t>
      </w:r>
      <w:r w:rsidR="00C72906" w:rsidRPr="000004E8">
        <w:rPr>
          <w:rFonts w:cs="Calibri"/>
          <w:color w:val="000000"/>
        </w:rPr>
        <w:t>Π</w:t>
      </w:r>
      <w:r w:rsidR="00BC382D">
        <w:rPr>
          <w:rFonts w:cs="Calibri"/>
          <w:color w:val="000000"/>
        </w:rPr>
        <w:t>.</w:t>
      </w:r>
      <w:r w:rsidR="00C72906" w:rsidRPr="000004E8">
        <w:rPr>
          <w:rFonts w:cs="Calibri"/>
          <w:color w:val="000000"/>
        </w:rPr>
        <w:t xml:space="preserve"> Α</w:t>
      </w:r>
      <w:r w:rsidR="00BC382D">
        <w:rPr>
          <w:rFonts w:cs="Calibri"/>
          <w:color w:val="000000"/>
        </w:rPr>
        <w:t>.</w:t>
      </w:r>
      <w:r w:rsidR="00C72906" w:rsidRPr="000004E8">
        <w:rPr>
          <w:rFonts w:cs="Calibri"/>
          <w:color w:val="000000"/>
        </w:rPr>
        <w:t>Ε</w:t>
      </w:r>
      <w:r w:rsidR="00BC382D">
        <w:rPr>
          <w:rFonts w:cs="Calibri"/>
          <w:color w:val="000000"/>
        </w:rPr>
        <w:t>.</w:t>
      </w:r>
      <w:r w:rsidR="00C72906" w:rsidRPr="000004E8">
        <w:rPr>
          <w:rFonts w:cs="Calibri"/>
          <w:color w:val="000000"/>
        </w:rPr>
        <w:t xml:space="preserve"> κατόπιν στοιχείων που παρέχει η Δ</w:t>
      </w:r>
      <w:r w:rsidR="00BC382D">
        <w:rPr>
          <w:rFonts w:cs="Calibri"/>
          <w:color w:val="000000"/>
        </w:rPr>
        <w:t>.</w:t>
      </w:r>
      <w:r w:rsidR="00C72906" w:rsidRPr="000004E8">
        <w:rPr>
          <w:rFonts w:cs="Calibri"/>
          <w:color w:val="000000"/>
        </w:rPr>
        <w:t>Ε</w:t>
      </w:r>
      <w:r w:rsidR="00BC382D">
        <w:rPr>
          <w:rFonts w:cs="Calibri"/>
          <w:color w:val="000000"/>
        </w:rPr>
        <w:t>.</w:t>
      </w:r>
      <w:r w:rsidR="00C72906" w:rsidRPr="000004E8">
        <w:rPr>
          <w:rFonts w:cs="Calibri"/>
          <w:color w:val="000000"/>
        </w:rPr>
        <w:t>Δ</w:t>
      </w:r>
      <w:r w:rsidR="00BC382D">
        <w:rPr>
          <w:rFonts w:cs="Calibri"/>
          <w:color w:val="000000"/>
        </w:rPr>
        <w:t>.</w:t>
      </w:r>
      <w:r w:rsidR="00C72906" w:rsidRPr="000004E8">
        <w:rPr>
          <w:rFonts w:cs="Calibri"/>
          <w:color w:val="000000"/>
        </w:rPr>
        <w:t>Δ</w:t>
      </w:r>
      <w:r w:rsidR="00BC382D">
        <w:rPr>
          <w:rFonts w:cs="Calibri"/>
          <w:color w:val="000000"/>
        </w:rPr>
        <w:t>.</w:t>
      </w:r>
      <w:r w:rsidR="00C72906" w:rsidRPr="000004E8">
        <w:rPr>
          <w:rFonts w:cs="Calibri"/>
          <w:color w:val="000000"/>
        </w:rPr>
        <w:t>Η</w:t>
      </w:r>
      <w:r w:rsidR="00BC382D">
        <w:rPr>
          <w:rFonts w:cs="Calibri"/>
          <w:color w:val="000000"/>
        </w:rPr>
        <w:t>.</w:t>
      </w:r>
      <w:r w:rsidR="00C72906" w:rsidRPr="000004E8">
        <w:rPr>
          <w:rFonts w:cs="Calibri"/>
          <w:color w:val="000000"/>
        </w:rPr>
        <w:t>Ε</w:t>
      </w:r>
      <w:r w:rsidR="00BC382D">
        <w:rPr>
          <w:rFonts w:cs="Calibri"/>
          <w:color w:val="000000"/>
        </w:rPr>
        <w:t>.</w:t>
      </w:r>
      <w:r w:rsidR="00C72906" w:rsidRPr="000004E8">
        <w:rPr>
          <w:rFonts w:cs="Calibri"/>
          <w:color w:val="000000"/>
        </w:rPr>
        <w:t xml:space="preserve"> Α</w:t>
      </w:r>
      <w:r w:rsidR="00BC382D">
        <w:rPr>
          <w:rFonts w:cs="Calibri"/>
          <w:color w:val="000000"/>
        </w:rPr>
        <w:t>.</w:t>
      </w:r>
      <w:r w:rsidR="00C72906" w:rsidRPr="000004E8">
        <w:rPr>
          <w:rFonts w:cs="Calibri"/>
          <w:color w:val="000000"/>
        </w:rPr>
        <w:t>Ε.</w:t>
      </w:r>
      <w:r w:rsidR="00BC382D">
        <w:rPr>
          <w:rFonts w:cs="Calibri"/>
          <w:color w:val="000000"/>
        </w:rPr>
        <w:t>.</w:t>
      </w:r>
    </w:p>
    <w:p w14:paraId="5C9398CD" w14:textId="5CE4A2DD" w:rsidR="00A25781" w:rsidRPr="000004E8" w:rsidRDefault="00A25781" w:rsidP="00A25781">
      <w:pPr>
        <w:pStyle w:val="a3"/>
        <w:spacing w:after="200" w:line="300" w:lineRule="auto"/>
        <w:ind w:left="714"/>
        <w:jc w:val="both"/>
        <w:rPr>
          <w:rFonts w:cs="Calibri"/>
        </w:rPr>
      </w:pPr>
      <w:r w:rsidRPr="000004E8">
        <w:rPr>
          <w:rFonts w:cs="Calibri"/>
          <w:bCs/>
          <w:color w:val="000000"/>
        </w:rPr>
        <w:t>γ)</w:t>
      </w:r>
      <w:r w:rsidRPr="000004E8">
        <w:rPr>
          <w:rFonts w:cs="Calibri"/>
          <w:color w:val="000000"/>
        </w:rPr>
        <w:t xml:space="preserve"> Κάθε θέμα σχετικά με τον υπολογισμό της χρέωσης, την εκκαθάριση, τον διακανονισμό των </w:t>
      </w:r>
      <w:r w:rsidRPr="000004E8">
        <w:rPr>
          <w:rFonts w:cs="Calibri"/>
        </w:rPr>
        <w:t>συναλλαγών, καθώς και κάθε άλλη λεπτομέρεια αναφορικά με την εφαρμογή</w:t>
      </w:r>
      <w:r w:rsidRPr="000004E8">
        <w:rPr>
          <w:rFonts w:cs="Calibri"/>
          <w:color w:val="000000"/>
        </w:rPr>
        <w:t xml:space="preserve"> της παρούσας καθορίζονται </w:t>
      </w:r>
      <w:r w:rsidRPr="000004E8">
        <w:rPr>
          <w:rFonts w:cs="Calibri"/>
        </w:rPr>
        <w:t>στον Κώδικα Δ</w:t>
      </w:r>
      <w:r w:rsidR="00DE1895">
        <w:rPr>
          <w:rFonts w:cs="Calibri"/>
        </w:rPr>
        <w:t>.</w:t>
      </w:r>
      <w:r w:rsidRPr="000004E8">
        <w:rPr>
          <w:rFonts w:cs="Calibri"/>
        </w:rPr>
        <w:t>Α</w:t>
      </w:r>
      <w:r w:rsidR="00DE1895">
        <w:rPr>
          <w:rFonts w:cs="Calibri"/>
        </w:rPr>
        <w:t>.</w:t>
      </w:r>
      <w:r w:rsidRPr="000004E8">
        <w:rPr>
          <w:rFonts w:cs="Calibri"/>
        </w:rPr>
        <w:t>Π</w:t>
      </w:r>
      <w:r w:rsidR="00DE1895">
        <w:rPr>
          <w:rFonts w:cs="Calibri"/>
        </w:rPr>
        <w:t>.</w:t>
      </w:r>
      <w:r w:rsidRPr="000004E8">
        <w:rPr>
          <w:rFonts w:cs="Calibri"/>
        </w:rPr>
        <w:t>Ε</w:t>
      </w:r>
      <w:r w:rsidR="00DE1895">
        <w:rPr>
          <w:rFonts w:cs="Calibri"/>
        </w:rPr>
        <w:t>.</w:t>
      </w:r>
      <w:r w:rsidRPr="000004E8">
        <w:rPr>
          <w:rFonts w:cs="Calibri"/>
        </w:rPr>
        <w:t>Ε</w:t>
      </w:r>
      <w:r w:rsidR="00DE1895">
        <w:rPr>
          <w:rFonts w:cs="Calibri"/>
        </w:rPr>
        <w:t>.</w:t>
      </w:r>
      <w:r w:rsidRPr="000004E8">
        <w:rPr>
          <w:rFonts w:cs="Calibri"/>
        </w:rPr>
        <w:t>Π</w:t>
      </w:r>
      <w:r w:rsidR="00DE1895">
        <w:rPr>
          <w:rFonts w:cs="Calibri"/>
        </w:rPr>
        <w:t>.</w:t>
      </w:r>
      <w:r w:rsidRPr="000004E8">
        <w:rPr>
          <w:rFonts w:cs="Calibri"/>
        </w:rPr>
        <w:t xml:space="preserve"> και στον Κώδικα Διαχείρισης Μ</w:t>
      </w:r>
      <w:r w:rsidR="00DE1895">
        <w:rPr>
          <w:rFonts w:cs="Calibri"/>
        </w:rPr>
        <w:t>.</w:t>
      </w:r>
      <w:r w:rsidRPr="000004E8">
        <w:rPr>
          <w:rFonts w:cs="Calibri"/>
        </w:rPr>
        <w:t>Δ</w:t>
      </w:r>
      <w:r w:rsidR="00DE1895">
        <w:rPr>
          <w:rFonts w:cs="Calibri"/>
        </w:rPr>
        <w:t>.</w:t>
      </w:r>
      <w:r w:rsidRPr="000004E8">
        <w:rPr>
          <w:rFonts w:cs="Calibri"/>
        </w:rPr>
        <w:t>Ν</w:t>
      </w:r>
      <w:r w:rsidR="00DE1895">
        <w:rPr>
          <w:rFonts w:cs="Calibri"/>
        </w:rPr>
        <w:t>.</w:t>
      </w:r>
      <w:r w:rsidRPr="000004E8">
        <w:rPr>
          <w:rFonts w:cs="Calibri"/>
        </w:rPr>
        <w:t>, οι οποίοι τροποποιούνται ενός δύο (2) μηνών από την έναρξη ισχύος του παρόντος.</w:t>
      </w:r>
    </w:p>
    <w:p w14:paraId="3FEC7890" w14:textId="4A48D858" w:rsidR="00A0147C" w:rsidRPr="000004E8" w:rsidRDefault="009C2D4C" w:rsidP="00A0147C">
      <w:pPr>
        <w:pStyle w:val="a3"/>
        <w:numPr>
          <w:ilvl w:val="0"/>
          <w:numId w:val="5"/>
        </w:numPr>
        <w:spacing w:after="200" w:line="300" w:lineRule="auto"/>
        <w:ind w:left="714" w:hanging="357"/>
        <w:jc w:val="both"/>
        <w:rPr>
          <w:rFonts w:cstheme="minorHAnsi"/>
          <w:bCs/>
        </w:rPr>
      </w:pPr>
      <w:r w:rsidRPr="000004E8">
        <w:rPr>
          <w:rFonts w:eastAsia="Times New Roman" w:cstheme="minorHAnsi"/>
          <w:bCs/>
          <w:iCs/>
        </w:rPr>
        <w:t xml:space="preserve">α) </w:t>
      </w:r>
      <w:r w:rsidR="00AC1508" w:rsidRPr="000004E8">
        <w:rPr>
          <w:rFonts w:eastAsia="Times New Roman" w:cstheme="minorHAnsi"/>
          <w:bCs/>
          <w:iCs/>
        </w:rPr>
        <w:t xml:space="preserve">Από την έναρξη λειτουργίας των </w:t>
      </w:r>
      <w:r w:rsidR="005F1028" w:rsidRPr="000004E8">
        <w:rPr>
          <w:rFonts w:eastAsia="Times New Roman" w:cstheme="minorHAnsi"/>
          <w:bCs/>
          <w:iCs/>
        </w:rPr>
        <w:t>α</w:t>
      </w:r>
      <w:r w:rsidR="00AC1508" w:rsidRPr="000004E8">
        <w:rPr>
          <w:rFonts w:eastAsia="Times New Roman" w:cstheme="minorHAnsi"/>
          <w:bCs/>
          <w:iCs/>
        </w:rPr>
        <w:t xml:space="preserve">γορών </w:t>
      </w:r>
      <w:r w:rsidR="005F1028" w:rsidRPr="000004E8">
        <w:rPr>
          <w:rFonts w:eastAsia="Times New Roman" w:cstheme="minorHAnsi"/>
          <w:bCs/>
          <w:iCs/>
        </w:rPr>
        <w:t>η</w:t>
      </w:r>
      <w:r w:rsidR="00AC1508" w:rsidRPr="000004E8">
        <w:rPr>
          <w:rFonts w:eastAsia="Times New Roman" w:cstheme="minorHAnsi"/>
          <w:bCs/>
          <w:iCs/>
        </w:rPr>
        <w:t>λεκτρ</w:t>
      </w:r>
      <w:r w:rsidR="000C0221" w:rsidRPr="000004E8">
        <w:rPr>
          <w:rFonts w:eastAsia="Times New Roman" w:cstheme="minorHAnsi"/>
          <w:bCs/>
          <w:iCs/>
        </w:rPr>
        <w:t xml:space="preserve">ικής </w:t>
      </w:r>
      <w:r w:rsidR="005F1028" w:rsidRPr="000004E8">
        <w:rPr>
          <w:rFonts w:eastAsia="Times New Roman" w:cstheme="minorHAnsi"/>
          <w:bCs/>
          <w:iCs/>
        </w:rPr>
        <w:t>ε</w:t>
      </w:r>
      <w:r w:rsidR="000C0221" w:rsidRPr="000004E8">
        <w:rPr>
          <w:rFonts w:eastAsia="Times New Roman" w:cstheme="minorHAnsi"/>
          <w:bCs/>
          <w:iCs/>
        </w:rPr>
        <w:t>νέργειας της περ. γ)</w:t>
      </w:r>
      <w:r w:rsidR="00AC1508" w:rsidRPr="000004E8">
        <w:rPr>
          <w:rFonts w:eastAsia="Times New Roman" w:cstheme="minorHAnsi"/>
          <w:bCs/>
          <w:iCs/>
        </w:rPr>
        <w:t xml:space="preserve"> του </w:t>
      </w:r>
      <w:r w:rsidR="00607184" w:rsidRPr="000004E8">
        <w:rPr>
          <w:rFonts w:eastAsia="Times New Roman" w:cstheme="minorHAnsi"/>
          <w:bCs/>
          <w:iCs/>
        </w:rPr>
        <w:t>άρθρου 5 του ν</w:t>
      </w:r>
      <w:r w:rsidR="000C0221" w:rsidRPr="000004E8">
        <w:rPr>
          <w:rFonts w:eastAsia="Times New Roman" w:cstheme="minorHAnsi"/>
          <w:bCs/>
          <w:iCs/>
        </w:rPr>
        <w:t>. 4425/2016 (Α’ 185)</w:t>
      </w:r>
      <w:r w:rsidR="005F1028" w:rsidRPr="000004E8">
        <w:rPr>
          <w:rFonts w:eastAsia="Times New Roman" w:cstheme="minorHAnsi"/>
          <w:bCs/>
          <w:iCs/>
        </w:rPr>
        <w:t>,</w:t>
      </w:r>
      <w:r w:rsidR="00AC1508" w:rsidRPr="000004E8">
        <w:rPr>
          <w:rFonts w:eastAsia="Times New Roman" w:cstheme="minorHAnsi"/>
          <w:bCs/>
          <w:iCs/>
        </w:rPr>
        <w:t xml:space="preserve"> σύμφωνα με </w:t>
      </w:r>
      <w:r w:rsidR="000C0221" w:rsidRPr="000004E8">
        <w:rPr>
          <w:rFonts w:eastAsia="Times New Roman" w:cstheme="minorHAnsi"/>
          <w:bCs/>
          <w:iCs/>
        </w:rPr>
        <w:t xml:space="preserve">την </w:t>
      </w:r>
      <w:r w:rsidR="00710663" w:rsidRPr="000004E8">
        <w:rPr>
          <w:rFonts w:eastAsia="Times New Roman" w:cstheme="minorHAnsi"/>
          <w:bCs/>
          <w:iCs/>
        </w:rPr>
        <w:t>υπ’ αρ</w:t>
      </w:r>
      <w:r w:rsidR="00917BA2" w:rsidRPr="000004E8">
        <w:rPr>
          <w:rFonts w:eastAsia="Times New Roman" w:cstheme="minorHAnsi"/>
          <w:bCs/>
          <w:iCs/>
        </w:rPr>
        <w:t>.</w:t>
      </w:r>
      <w:r w:rsidR="00710663" w:rsidRPr="000004E8">
        <w:rPr>
          <w:rFonts w:eastAsia="Times New Roman" w:cstheme="minorHAnsi"/>
          <w:bCs/>
          <w:iCs/>
        </w:rPr>
        <w:t xml:space="preserve"> 1298/2020 (Β’ 4415) </w:t>
      </w:r>
      <w:r w:rsidR="000C0221" w:rsidRPr="000004E8">
        <w:rPr>
          <w:rFonts w:eastAsia="Times New Roman" w:cstheme="minorHAnsi"/>
          <w:bCs/>
          <w:iCs/>
        </w:rPr>
        <w:t xml:space="preserve">απόφαση </w:t>
      </w:r>
      <w:r w:rsidR="005F1028" w:rsidRPr="000004E8">
        <w:rPr>
          <w:rFonts w:eastAsia="Times New Roman" w:cstheme="minorHAnsi"/>
          <w:bCs/>
          <w:iCs/>
        </w:rPr>
        <w:t>της Ρυθμιστικής Αρχής Ε</w:t>
      </w:r>
      <w:r w:rsidR="00710663" w:rsidRPr="000004E8">
        <w:rPr>
          <w:rFonts w:eastAsia="Times New Roman" w:cstheme="minorHAnsi"/>
          <w:bCs/>
          <w:iCs/>
        </w:rPr>
        <w:t>νέργειας (</w:t>
      </w:r>
      <w:r w:rsidR="000C0221" w:rsidRPr="000004E8">
        <w:rPr>
          <w:rFonts w:eastAsia="Times New Roman" w:cstheme="minorHAnsi"/>
          <w:bCs/>
          <w:iCs/>
        </w:rPr>
        <w:t>ΡΑΕ</w:t>
      </w:r>
      <w:r w:rsidR="00710663" w:rsidRPr="000004E8">
        <w:rPr>
          <w:rFonts w:eastAsia="Times New Roman" w:cstheme="minorHAnsi"/>
          <w:bCs/>
          <w:iCs/>
        </w:rPr>
        <w:t>)</w:t>
      </w:r>
      <w:r w:rsidR="00AC1508" w:rsidRPr="000004E8">
        <w:rPr>
          <w:rFonts w:eastAsia="Times New Roman" w:cstheme="minorHAnsi"/>
          <w:bCs/>
          <w:iCs/>
        </w:rPr>
        <w:t>,</w:t>
      </w:r>
      <w:r w:rsidR="000C0221" w:rsidRPr="000004E8">
        <w:rPr>
          <w:rFonts w:eastAsia="Times New Roman" w:cstheme="minorHAnsi"/>
          <w:bCs/>
          <w:iCs/>
        </w:rPr>
        <w:t xml:space="preserve"> </w:t>
      </w:r>
      <w:r w:rsidR="002832F3" w:rsidRPr="000004E8">
        <w:rPr>
          <w:rFonts w:eastAsia="Times New Roman" w:cstheme="minorHAnsi"/>
          <w:bCs/>
          <w:iCs/>
        </w:rPr>
        <w:t>την 1</w:t>
      </w:r>
      <w:r w:rsidR="002832F3" w:rsidRPr="000004E8">
        <w:rPr>
          <w:rFonts w:eastAsia="Times New Roman" w:cstheme="minorHAnsi"/>
          <w:bCs/>
          <w:iCs/>
          <w:vertAlign w:val="superscript"/>
        </w:rPr>
        <w:t>η</w:t>
      </w:r>
      <w:r w:rsidR="002832F3" w:rsidRPr="000004E8">
        <w:rPr>
          <w:rFonts w:eastAsia="Times New Roman" w:cstheme="minorHAnsi"/>
          <w:bCs/>
          <w:iCs/>
        </w:rPr>
        <w:t xml:space="preserve">.11.2020, </w:t>
      </w:r>
      <w:r w:rsidR="003C2E94" w:rsidRPr="000004E8">
        <w:rPr>
          <w:rFonts w:eastAsia="Times New Roman" w:cstheme="minorHAnsi"/>
          <w:bCs/>
          <w:iCs/>
        </w:rPr>
        <w:t>η</w:t>
      </w:r>
      <w:r w:rsidR="000C0221" w:rsidRPr="000004E8">
        <w:rPr>
          <w:rFonts w:eastAsia="Times New Roman" w:cstheme="minorHAnsi"/>
          <w:bCs/>
          <w:iCs/>
        </w:rPr>
        <w:t xml:space="preserve"> </w:t>
      </w:r>
      <w:r w:rsidR="00710663" w:rsidRPr="000004E8">
        <w:rPr>
          <w:rFonts w:eastAsia="Times New Roman" w:cstheme="minorHAnsi"/>
          <w:bCs/>
          <w:iCs/>
        </w:rPr>
        <w:t>υπο</w:t>
      </w:r>
      <w:r w:rsidR="000C0221" w:rsidRPr="000004E8">
        <w:rPr>
          <w:rFonts w:eastAsia="Times New Roman" w:cstheme="minorHAnsi"/>
          <w:bCs/>
          <w:iCs/>
        </w:rPr>
        <w:t>περ.</w:t>
      </w:r>
      <w:r w:rsidR="00607184" w:rsidRPr="000004E8">
        <w:rPr>
          <w:rFonts w:eastAsia="Times New Roman" w:cstheme="minorHAnsi"/>
          <w:bCs/>
          <w:iCs/>
        </w:rPr>
        <w:t xml:space="preserve"> αα) της π</w:t>
      </w:r>
      <w:r w:rsidR="00710663" w:rsidRPr="000004E8">
        <w:rPr>
          <w:rFonts w:eastAsia="Times New Roman" w:cstheme="minorHAnsi"/>
          <w:bCs/>
          <w:iCs/>
        </w:rPr>
        <w:t>ε</w:t>
      </w:r>
      <w:r w:rsidR="00607184" w:rsidRPr="000004E8">
        <w:rPr>
          <w:rFonts w:eastAsia="Times New Roman" w:cstheme="minorHAnsi"/>
          <w:bCs/>
          <w:iCs/>
        </w:rPr>
        <w:t>ρ.</w:t>
      </w:r>
      <w:r w:rsidR="00AC1508" w:rsidRPr="000004E8">
        <w:rPr>
          <w:rFonts w:eastAsia="Times New Roman" w:cstheme="minorHAnsi"/>
          <w:bCs/>
          <w:iCs/>
        </w:rPr>
        <w:t xml:space="preserve"> </w:t>
      </w:r>
      <w:r w:rsidR="00607184" w:rsidRPr="000004E8">
        <w:rPr>
          <w:rFonts w:eastAsia="Times New Roman" w:cstheme="minorHAnsi"/>
          <w:bCs/>
          <w:iCs/>
        </w:rPr>
        <w:t>α) της παρ. 3 του άρθρου 143 του ν. 4001/2011</w:t>
      </w:r>
      <w:r w:rsidR="00AC1508" w:rsidRPr="000004E8">
        <w:rPr>
          <w:rFonts w:eastAsia="Times New Roman" w:cstheme="minorHAnsi"/>
          <w:bCs/>
          <w:iCs/>
        </w:rPr>
        <w:t xml:space="preserve"> </w:t>
      </w:r>
      <w:r w:rsidR="00C46582">
        <w:rPr>
          <w:rFonts w:eastAsia="Times New Roman" w:cstheme="minorHAnsi"/>
          <w:bCs/>
          <w:iCs/>
        </w:rPr>
        <w:t xml:space="preserve">(Α’ 179) </w:t>
      </w:r>
      <w:r w:rsidR="00AC1508" w:rsidRPr="000004E8">
        <w:rPr>
          <w:rFonts w:eastAsia="Times New Roman" w:cstheme="minorHAnsi"/>
          <w:bCs/>
          <w:iCs/>
        </w:rPr>
        <w:t>αντικαθίσταται ως εξής:</w:t>
      </w:r>
    </w:p>
    <w:p w14:paraId="63460A55" w14:textId="6C1103C5" w:rsidR="003C2E94" w:rsidRPr="000004E8" w:rsidRDefault="00AC1508" w:rsidP="00B91A66">
      <w:pPr>
        <w:pStyle w:val="a3"/>
        <w:spacing w:after="200" w:line="300" w:lineRule="auto"/>
        <w:ind w:left="714"/>
        <w:jc w:val="both"/>
        <w:rPr>
          <w:rFonts w:eastAsia="Times New Roman" w:cstheme="minorHAnsi"/>
          <w:bCs/>
          <w:iCs/>
        </w:rPr>
      </w:pPr>
      <w:r w:rsidRPr="000004E8">
        <w:rPr>
          <w:rFonts w:eastAsia="Times New Roman" w:cstheme="minorHAnsi"/>
          <w:bCs/>
          <w:iCs/>
        </w:rPr>
        <w:t>«</w:t>
      </w:r>
      <w:r w:rsidR="003C6F2A" w:rsidRPr="000004E8">
        <w:rPr>
          <w:rFonts w:eastAsia="Times New Roman" w:cstheme="minorHAnsi"/>
          <w:bCs/>
          <w:iCs/>
        </w:rPr>
        <w:t xml:space="preserve">αα) </w:t>
      </w:r>
      <w:r w:rsidRPr="000004E8">
        <w:rPr>
          <w:rFonts w:eastAsia="Times New Roman" w:cstheme="minorHAnsi"/>
          <w:bCs/>
          <w:iCs/>
        </w:rPr>
        <w:t xml:space="preserve">Τα ποσά που καταβάλλουν οι </w:t>
      </w:r>
      <w:r w:rsidR="002832F3" w:rsidRPr="000004E8">
        <w:rPr>
          <w:rFonts w:eastAsia="Times New Roman" w:cstheme="minorHAnsi"/>
          <w:bCs/>
          <w:iCs/>
        </w:rPr>
        <w:t>σ</w:t>
      </w:r>
      <w:r w:rsidRPr="000004E8">
        <w:rPr>
          <w:rFonts w:eastAsia="Times New Roman" w:cstheme="minorHAnsi"/>
          <w:bCs/>
          <w:iCs/>
        </w:rPr>
        <w:t xml:space="preserve">υμμετέχοντες στο πλαίσιο λειτουργίας των </w:t>
      </w:r>
      <w:r w:rsidR="002832F3" w:rsidRPr="000004E8">
        <w:rPr>
          <w:rFonts w:eastAsia="Times New Roman" w:cstheme="minorHAnsi"/>
          <w:bCs/>
          <w:iCs/>
        </w:rPr>
        <w:t>α</w:t>
      </w:r>
      <w:r w:rsidRPr="000004E8">
        <w:rPr>
          <w:rFonts w:eastAsia="Times New Roman" w:cstheme="minorHAnsi"/>
          <w:bCs/>
          <w:iCs/>
        </w:rPr>
        <w:t xml:space="preserve">γορών </w:t>
      </w:r>
      <w:r w:rsidR="002832F3" w:rsidRPr="000004E8">
        <w:rPr>
          <w:rFonts w:eastAsia="Times New Roman" w:cstheme="minorHAnsi"/>
          <w:bCs/>
          <w:iCs/>
        </w:rPr>
        <w:t>η</w:t>
      </w:r>
      <w:r w:rsidRPr="000004E8">
        <w:rPr>
          <w:rFonts w:eastAsia="Times New Roman" w:cstheme="minorHAnsi"/>
          <w:bCs/>
          <w:iCs/>
        </w:rPr>
        <w:t xml:space="preserve">λεκτρικής </w:t>
      </w:r>
      <w:r w:rsidR="002832F3" w:rsidRPr="000004E8">
        <w:rPr>
          <w:rFonts w:eastAsia="Times New Roman" w:cstheme="minorHAnsi"/>
          <w:bCs/>
          <w:iCs/>
        </w:rPr>
        <w:t>ε</w:t>
      </w:r>
      <w:r w:rsidRPr="000004E8">
        <w:rPr>
          <w:rFonts w:eastAsia="Times New Roman" w:cstheme="minorHAnsi"/>
          <w:bCs/>
          <w:iCs/>
        </w:rPr>
        <w:t>νέργειας της π</w:t>
      </w:r>
      <w:r w:rsidR="00F134A9" w:rsidRPr="000004E8">
        <w:rPr>
          <w:rFonts w:eastAsia="Times New Roman" w:cstheme="minorHAnsi"/>
          <w:bCs/>
          <w:iCs/>
        </w:rPr>
        <w:t>ερ</w:t>
      </w:r>
      <w:r w:rsidR="002832F3" w:rsidRPr="000004E8">
        <w:rPr>
          <w:rFonts w:eastAsia="Times New Roman" w:cstheme="minorHAnsi"/>
          <w:bCs/>
          <w:iCs/>
        </w:rPr>
        <w:t>.</w:t>
      </w:r>
      <w:r w:rsidR="00F134A9" w:rsidRPr="000004E8">
        <w:rPr>
          <w:rFonts w:eastAsia="Times New Roman" w:cstheme="minorHAnsi"/>
          <w:bCs/>
          <w:iCs/>
        </w:rPr>
        <w:t xml:space="preserve"> γ</w:t>
      </w:r>
      <w:r w:rsidR="002832F3" w:rsidRPr="000004E8">
        <w:rPr>
          <w:rFonts w:eastAsia="Times New Roman" w:cstheme="minorHAnsi"/>
          <w:bCs/>
          <w:iCs/>
        </w:rPr>
        <w:t>)</w:t>
      </w:r>
      <w:r w:rsidR="00F134A9" w:rsidRPr="000004E8">
        <w:rPr>
          <w:rFonts w:eastAsia="Times New Roman" w:cstheme="minorHAnsi"/>
          <w:bCs/>
          <w:iCs/>
        </w:rPr>
        <w:t xml:space="preserve"> του άρθρου 5 του ν. 4425/2016  </w:t>
      </w:r>
      <w:r w:rsidRPr="000004E8">
        <w:rPr>
          <w:rFonts w:eastAsia="Times New Roman" w:cstheme="minorHAnsi"/>
          <w:bCs/>
          <w:iCs/>
        </w:rPr>
        <w:t>για την ενέργεια από σταθμούς παραγωγής ηλεκτρι</w:t>
      </w:r>
      <w:r w:rsidR="00F134A9" w:rsidRPr="000004E8">
        <w:rPr>
          <w:rFonts w:eastAsia="Times New Roman" w:cstheme="minorHAnsi"/>
          <w:bCs/>
          <w:iCs/>
        </w:rPr>
        <w:t>κής ενέργειας από Α</w:t>
      </w:r>
      <w:r w:rsidR="002832F3" w:rsidRPr="000004E8">
        <w:rPr>
          <w:rFonts w:eastAsia="Times New Roman" w:cstheme="minorHAnsi"/>
          <w:bCs/>
          <w:iCs/>
        </w:rPr>
        <w:t>.</w:t>
      </w:r>
      <w:r w:rsidR="00F134A9" w:rsidRPr="000004E8">
        <w:rPr>
          <w:rFonts w:eastAsia="Times New Roman" w:cstheme="minorHAnsi"/>
          <w:bCs/>
          <w:iCs/>
        </w:rPr>
        <w:t>Π</w:t>
      </w:r>
      <w:r w:rsidR="002832F3" w:rsidRPr="000004E8">
        <w:rPr>
          <w:rFonts w:eastAsia="Times New Roman" w:cstheme="minorHAnsi"/>
          <w:bCs/>
          <w:iCs/>
        </w:rPr>
        <w:t>.</w:t>
      </w:r>
      <w:r w:rsidR="00F134A9" w:rsidRPr="000004E8">
        <w:rPr>
          <w:rFonts w:eastAsia="Times New Roman" w:cstheme="minorHAnsi"/>
          <w:bCs/>
          <w:iCs/>
        </w:rPr>
        <w:t>Ε</w:t>
      </w:r>
      <w:r w:rsidR="002832F3" w:rsidRPr="000004E8">
        <w:rPr>
          <w:rFonts w:eastAsia="Times New Roman" w:cstheme="minorHAnsi"/>
          <w:bCs/>
          <w:iCs/>
        </w:rPr>
        <w:t>.</w:t>
      </w:r>
      <w:r w:rsidR="00F134A9" w:rsidRPr="000004E8">
        <w:rPr>
          <w:rFonts w:eastAsia="Times New Roman" w:cstheme="minorHAnsi"/>
          <w:bCs/>
          <w:iCs/>
        </w:rPr>
        <w:t xml:space="preserve"> και Σ</w:t>
      </w:r>
      <w:r w:rsidR="002832F3" w:rsidRPr="000004E8">
        <w:rPr>
          <w:rFonts w:eastAsia="Times New Roman" w:cstheme="minorHAnsi"/>
          <w:bCs/>
          <w:iCs/>
        </w:rPr>
        <w:t>.</w:t>
      </w:r>
      <w:r w:rsidR="00F134A9" w:rsidRPr="000004E8">
        <w:rPr>
          <w:rFonts w:eastAsia="Times New Roman" w:cstheme="minorHAnsi"/>
          <w:bCs/>
          <w:iCs/>
        </w:rPr>
        <w:t>Η</w:t>
      </w:r>
      <w:r w:rsidR="002832F3" w:rsidRPr="000004E8">
        <w:rPr>
          <w:rFonts w:eastAsia="Times New Roman" w:cstheme="minorHAnsi"/>
          <w:bCs/>
          <w:iCs/>
        </w:rPr>
        <w:t>.</w:t>
      </w:r>
      <w:r w:rsidR="00F134A9" w:rsidRPr="000004E8">
        <w:rPr>
          <w:rFonts w:eastAsia="Times New Roman" w:cstheme="minorHAnsi"/>
          <w:bCs/>
          <w:iCs/>
        </w:rPr>
        <w:t>Θ</w:t>
      </w:r>
      <w:r w:rsidR="002832F3" w:rsidRPr="000004E8">
        <w:rPr>
          <w:rFonts w:eastAsia="Times New Roman" w:cstheme="minorHAnsi"/>
          <w:bCs/>
          <w:iCs/>
        </w:rPr>
        <w:t>.</w:t>
      </w:r>
      <w:r w:rsidR="00F134A9" w:rsidRPr="000004E8">
        <w:rPr>
          <w:rFonts w:eastAsia="Times New Roman" w:cstheme="minorHAnsi"/>
          <w:bCs/>
          <w:iCs/>
        </w:rPr>
        <w:t>Υ</w:t>
      </w:r>
      <w:r w:rsidR="002832F3" w:rsidRPr="000004E8">
        <w:rPr>
          <w:rFonts w:eastAsia="Times New Roman" w:cstheme="minorHAnsi"/>
          <w:bCs/>
          <w:iCs/>
        </w:rPr>
        <w:t>.</w:t>
      </w:r>
      <w:r w:rsidR="00F134A9" w:rsidRPr="000004E8">
        <w:rPr>
          <w:rFonts w:eastAsia="Times New Roman" w:cstheme="minorHAnsi"/>
          <w:bCs/>
          <w:iCs/>
        </w:rPr>
        <w:t>Α</w:t>
      </w:r>
      <w:r w:rsidR="002832F3" w:rsidRPr="000004E8">
        <w:rPr>
          <w:rFonts w:eastAsia="Times New Roman" w:cstheme="minorHAnsi"/>
          <w:bCs/>
          <w:iCs/>
        </w:rPr>
        <w:t>.</w:t>
      </w:r>
      <w:r w:rsidRPr="000004E8">
        <w:rPr>
          <w:rFonts w:eastAsia="Times New Roman" w:cstheme="minorHAnsi"/>
          <w:bCs/>
          <w:iCs/>
        </w:rPr>
        <w:t xml:space="preserve"> με </w:t>
      </w:r>
      <w:r w:rsidR="002832F3" w:rsidRPr="000004E8">
        <w:rPr>
          <w:rFonts w:eastAsia="Times New Roman" w:cstheme="minorHAnsi"/>
          <w:bCs/>
          <w:iCs/>
        </w:rPr>
        <w:t>σ</w:t>
      </w:r>
      <w:r w:rsidRPr="000004E8">
        <w:rPr>
          <w:rFonts w:eastAsia="Times New Roman" w:cstheme="minorHAnsi"/>
          <w:bCs/>
          <w:iCs/>
        </w:rPr>
        <w:t xml:space="preserve">ύμβαση </w:t>
      </w:r>
      <w:r w:rsidR="002832F3" w:rsidRPr="000004E8">
        <w:rPr>
          <w:rFonts w:eastAsia="Times New Roman" w:cstheme="minorHAnsi"/>
          <w:bCs/>
          <w:iCs/>
        </w:rPr>
        <w:t>λ</w:t>
      </w:r>
      <w:r w:rsidRPr="000004E8">
        <w:rPr>
          <w:rFonts w:eastAsia="Times New Roman" w:cstheme="minorHAnsi"/>
          <w:bCs/>
          <w:iCs/>
        </w:rPr>
        <w:t xml:space="preserve">ειτουργικής </w:t>
      </w:r>
      <w:r w:rsidR="002832F3" w:rsidRPr="000004E8">
        <w:rPr>
          <w:rFonts w:eastAsia="Times New Roman" w:cstheme="minorHAnsi"/>
          <w:bCs/>
          <w:iCs/>
        </w:rPr>
        <w:t>ε</w:t>
      </w:r>
      <w:r w:rsidRPr="000004E8">
        <w:rPr>
          <w:rFonts w:eastAsia="Times New Roman" w:cstheme="minorHAnsi"/>
          <w:bCs/>
          <w:iCs/>
        </w:rPr>
        <w:t xml:space="preserve">νίσχυσης </w:t>
      </w:r>
      <w:r w:rsidR="002832F3" w:rsidRPr="000004E8">
        <w:rPr>
          <w:rFonts w:eastAsia="Times New Roman" w:cstheme="minorHAnsi"/>
          <w:bCs/>
          <w:iCs/>
        </w:rPr>
        <w:t>σ</w:t>
      </w:r>
      <w:r w:rsidRPr="000004E8">
        <w:rPr>
          <w:rFonts w:eastAsia="Times New Roman" w:cstheme="minorHAnsi"/>
          <w:bCs/>
          <w:iCs/>
        </w:rPr>
        <w:t xml:space="preserve">ταθερής </w:t>
      </w:r>
      <w:r w:rsidR="002832F3" w:rsidRPr="000004E8">
        <w:rPr>
          <w:rFonts w:eastAsia="Times New Roman" w:cstheme="minorHAnsi"/>
          <w:bCs/>
          <w:iCs/>
        </w:rPr>
        <w:t>τ</w:t>
      </w:r>
      <w:r w:rsidRPr="000004E8">
        <w:rPr>
          <w:rFonts w:eastAsia="Times New Roman" w:cstheme="minorHAnsi"/>
          <w:bCs/>
          <w:iCs/>
        </w:rPr>
        <w:t xml:space="preserve">ιμής ή </w:t>
      </w:r>
      <w:r w:rsidR="00B91A66" w:rsidRPr="000004E8">
        <w:rPr>
          <w:rFonts w:eastAsia="Times New Roman" w:cstheme="minorHAnsi"/>
          <w:bCs/>
          <w:iCs/>
        </w:rPr>
        <w:t xml:space="preserve">με </w:t>
      </w:r>
      <w:r w:rsidR="002832F3" w:rsidRPr="000004E8">
        <w:rPr>
          <w:rFonts w:eastAsia="Times New Roman" w:cstheme="minorHAnsi"/>
          <w:bCs/>
          <w:iCs/>
        </w:rPr>
        <w:t>σ</w:t>
      </w:r>
      <w:r w:rsidRPr="000004E8">
        <w:rPr>
          <w:rFonts w:eastAsia="Times New Roman" w:cstheme="minorHAnsi"/>
          <w:bCs/>
          <w:iCs/>
        </w:rPr>
        <w:t>ύμβαση πώλησης ηλεκτρικής ενέργειας κατά το άρθρο 12 του ν. 3468/2006 (Α´ 129) ή</w:t>
      </w:r>
      <w:r w:rsidR="00B91A66" w:rsidRPr="000004E8">
        <w:rPr>
          <w:rFonts w:eastAsia="Times New Roman" w:cstheme="minorHAnsi"/>
          <w:bCs/>
          <w:iCs/>
        </w:rPr>
        <w:t xml:space="preserve"> </w:t>
      </w:r>
      <w:r w:rsidRPr="000004E8">
        <w:rPr>
          <w:rFonts w:eastAsia="Times New Roman" w:cstheme="minorHAnsi"/>
          <w:bCs/>
          <w:iCs/>
        </w:rPr>
        <w:t xml:space="preserve">αντίστοιχη σύμβαση αγοραπωλησίας ηλεκτρικής ενέργειας προ του ν. 3468/2006, περιλαμβανομένων των </w:t>
      </w:r>
      <w:r w:rsidR="00BC382D">
        <w:rPr>
          <w:rFonts w:eastAsia="Times New Roman" w:cstheme="minorHAnsi"/>
          <w:bCs/>
          <w:iCs/>
        </w:rPr>
        <w:t>φωτοβολταϊκών</w:t>
      </w:r>
      <w:r w:rsidRPr="000004E8">
        <w:rPr>
          <w:rFonts w:eastAsia="Times New Roman" w:cstheme="minorHAnsi"/>
          <w:bCs/>
          <w:iCs/>
        </w:rPr>
        <w:t xml:space="preserve"> </w:t>
      </w:r>
      <w:r w:rsidR="002832F3" w:rsidRPr="000004E8">
        <w:rPr>
          <w:rFonts w:eastAsia="Times New Roman" w:cstheme="minorHAnsi"/>
          <w:bCs/>
          <w:iCs/>
        </w:rPr>
        <w:t>ε</w:t>
      </w:r>
      <w:r w:rsidRPr="000004E8">
        <w:rPr>
          <w:rFonts w:eastAsia="Times New Roman" w:cstheme="minorHAnsi"/>
          <w:bCs/>
          <w:iCs/>
        </w:rPr>
        <w:t xml:space="preserve">ιδικού </w:t>
      </w:r>
      <w:r w:rsidR="002832F3" w:rsidRPr="000004E8">
        <w:rPr>
          <w:rFonts w:eastAsia="Times New Roman" w:cstheme="minorHAnsi"/>
          <w:bCs/>
          <w:iCs/>
        </w:rPr>
        <w:t>π</w:t>
      </w:r>
      <w:r w:rsidRPr="000004E8">
        <w:rPr>
          <w:rFonts w:eastAsia="Times New Roman" w:cstheme="minorHAnsi"/>
          <w:bCs/>
          <w:iCs/>
        </w:rPr>
        <w:t>ρογράμματος του άρθρου 14Α του ν</w:t>
      </w:r>
      <w:r w:rsidR="00F134A9" w:rsidRPr="000004E8">
        <w:rPr>
          <w:rFonts w:eastAsia="Times New Roman" w:cstheme="minorHAnsi"/>
          <w:bCs/>
          <w:iCs/>
        </w:rPr>
        <w:t>. 3468/</w:t>
      </w:r>
      <w:r w:rsidRPr="000004E8">
        <w:rPr>
          <w:rFonts w:eastAsia="Times New Roman" w:cstheme="minorHAnsi"/>
          <w:bCs/>
          <w:iCs/>
        </w:rPr>
        <w:t>2006 (Α´ 129) ή</w:t>
      </w:r>
      <w:r w:rsidR="00B91A66" w:rsidRPr="000004E8">
        <w:rPr>
          <w:rFonts w:eastAsia="Times New Roman" w:cstheme="minorHAnsi"/>
          <w:bCs/>
          <w:iCs/>
        </w:rPr>
        <w:t xml:space="preserve"> </w:t>
      </w:r>
      <w:r w:rsidR="002832F3" w:rsidRPr="000004E8">
        <w:rPr>
          <w:rFonts w:eastAsia="Times New Roman" w:cstheme="minorHAnsi"/>
          <w:bCs/>
          <w:iCs/>
        </w:rPr>
        <w:t>σ</w:t>
      </w:r>
      <w:r w:rsidRPr="000004E8">
        <w:rPr>
          <w:rFonts w:eastAsia="Times New Roman" w:cstheme="minorHAnsi"/>
          <w:bCs/>
          <w:iCs/>
        </w:rPr>
        <w:t xml:space="preserve">ύμβαση </w:t>
      </w:r>
      <w:r w:rsidR="002832F3" w:rsidRPr="000004E8">
        <w:rPr>
          <w:rFonts w:eastAsia="Times New Roman" w:cstheme="minorHAnsi"/>
          <w:bCs/>
          <w:iCs/>
        </w:rPr>
        <w:t>σ</w:t>
      </w:r>
      <w:r w:rsidRPr="000004E8">
        <w:rPr>
          <w:rFonts w:eastAsia="Times New Roman" w:cstheme="minorHAnsi"/>
          <w:bCs/>
          <w:iCs/>
        </w:rPr>
        <w:t xml:space="preserve">υμψηφισμού </w:t>
      </w:r>
      <w:r w:rsidR="002832F3" w:rsidRPr="000004E8">
        <w:rPr>
          <w:rFonts w:eastAsia="Times New Roman" w:cstheme="minorHAnsi"/>
          <w:bCs/>
          <w:iCs/>
        </w:rPr>
        <w:t>ε</w:t>
      </w:r>
      <w:r w:rsidRPr="000004E8">
        <w:rPr>
          <w:rFonts w:eastAsia="Times New Roman" w:cstheme="minorHAnsi"/>
          <w:bCs/>
          <w:iCs/>
        </w:rPr>
        <w:t>νέργειας</w:t>
      </w:r>
      <w:r w:rsidR="00A0147C" w:rsidRPr="000004E8">
        <w:rPr>
          <w:rFonts w:eastAsia="Times New Roman" w:cstheme="minorHAnsi"/>
          <w:bCs/>
          <w:iCs/>
        </w:rPr>
        <w:t>,</w:t>
      </w:r>
      <w:r w:rsidR="003E18A7" w:rsidRPr="000004E8">
        <w:rPr>
          <w:rFonts w:eastAsia="Times New Roman" w:cstheme="minorHAnsi"/>
          <w:bCs/>
          <w:iCs/>
        </w:rPr>
        <w:t xml:space="preserve"> </w:t>
      </w:r>
      <w:r w:rsidRPr="000004E8">
        <w:rPr>
          <w:rFonts w:eastAsia="Times New Roman" w:cstheme="minorHAnsi"/>
          <w:bCs/>
          <w:iCs/>
        </w:rPr>
        <w:t>σύμφωνα με τις προβλέψεις του Κανονισμού του Χρηματιστηρίου Ενέργειας</w:t>
      </w:r>
      <w:r w:rsidR="00BC1EF2" w:rsidRPr="000004E8">
        <w:rPr>
          <w:rFonts w:eastAsia="Times New Roman" w:cstheme="minorHAnsi"/>
          <w:bCs/>
          <w:iCs/>
        </w:rPr>
        <w:t xml:space="preserve"> (Β΄ 5914/2018)</w:t>
      </w:r>
      <w:r w:rsidRPr="000004E8">
        <w:rPr>
          <w:rFonts w:eastAsia="Times New Roman" w:cstheme="minorHAnsi"/>
          <w:bCs/>
          <w:iCs/>
        </w:rPr>
        <w:t>, του Κανονισμού Εκκαθάρισης Συναλλαγών Αγοράς Επόμενης Ημέρας και Ενδοημερήσιας Αγοράς</w:t>
      </w:r>
      <w:r w:rsidR="00BC1EF2" w:rsidRPr="000004E8">
        <w:rPr>
          <w:rFonts w:eastAsia="Times New Roman" w:cstheme="minorHAnsi"/>
          <w:bCs/>
          <w:iCs/>
        </w:rPr>
        <w:t xml:space="preserve"> (Β΄ 428/2020)</w:t>
      </w:r>
      <w:r w:rsidRPr="000004E8">
        <w:rPr>
          <w:rFonts w:eastAsia="Times New Roman" w:cstheme="minorHAnsi"/>
          <w:bCs/>
          <w:iCs/>
        </w:rPr>
        <w:t>, του Κανονισμού Αγοράς Εξισορρόπησης</w:t>
      </w:r>
      <w:r w:rsidR="00BC1EF2" w:rsidRPr="000004E8">
        <w:rPr>
          <w:rFonts w:eastAsia="Times New Roman" w:cstheme="minorHAnsi"/>
          <w:bCs/>
          <w:iCs/>
        </w:rPr>
        <w:t xml:space="preserve"> (Β΄ 5910/</w:t>
      </w:r>
      <w:r w:rsidR="00255A8A" w:rsidRPr="000004E8">
        <w:rPr>
          <w:rFonts w:eastAsia="Times New Roman" w:cstheme="minorHAnsi"/>
          <w:bCs/>
          <w:iCs/>
        </w:rPr>
        <w:t>2018</w:t>
      </w:r>
      <w:r w:rsidR="00071E48" w:rsidRPr="000004E8">
        <w:rPr>
          <w:rFonts w:eastAsia="Times New Roman" w:cstheme="minorHAnsi"/>
          <w:bCs/>
          <w:iCs/>
        </w:rPr>
        <w:t>,</w:t>
      </w:r>
      <w:r w:rsidR="00CF18D6" w:rsidRPr="000004E8">
        <w:rPr>
          <w:rFonts w:eastAsia="Times New Roman" w:cstheme="minorHAnsi"/>
          <w:bCs/>
          <w:iCs/>
        </w:rPr>
        <w:t xml:space="preserve"> </w:t>
      </w:r>
      <w:r w:rsidR="00071E48" w:rsidRPr="000004E8">
        <w:rPr>
          <w:rFonts w:eastAsia="Times New Roman" w:cstheme="minorHAnsi"/>
          <w:bCs/>
          <w:iCs/>
        </w:rPr>
        <w:t xml:space="preserve">όπως διορθώθηκε με το </w:t>
      </w:r>
      <w:r w:rsidR="00CF18D6" w:rsidRPr="000004E8">
        <w:rPr>
          <w:rFonts w:eastAsia="Times New Roman" w:cstheme="minorHAnsi"/>
          <w:bCs/>
          <w:iCs/>
        </w:rPr>
        <w:t>Β΄ 468/2019</w:t>
      </w:r>
      <w:r w:rsidR="00255A8A" w:rsidRPr="000004E8">
        <w:rPr>
          <w:rFonts w:eastAsia="Times New Roman" w:cstheme="minorHAnsi"/>
          <w:bCs/>
          <w:iCs/>
        </w:rPr>
        <w:t>)</w:t>
      </w:r>
      <w:r w:rsidRPr="000004E8">
        <w:rPr>
          <w:rFonts w:eastAsia="Times New Roman" w:cstheme="minorHAnsi"/>
          <w:bCs/>
          <w:iCs/>
        </w:rPr>
        <w:t>, του</w:t>
      </w:r>
      <w:r w:rsidR="0090354E" w:rsidRPr="000004E8">
        <w:rPr>
          <w:rFonts w:eastAsia="Times New Roman" w:cstheme="minorHAnsi"/>
          <w:bCs/>
          <w:iCs/>
        </w:rPr>
        <w:t xml:space="preserve"> Κανονισμού Εκκαθάρισης Θέσεων </w:t>
      </w:r>
      <w:r w:rsidR="00255A8A" w:rsidRPr="000004E8">
        <w:rPr>
          <w:rFonts w:eastAsia="Times New Roman" w:cstheme="minorHAnsi"/>
          <w:bCs/>
          <w:iCs/>
        </w:rPr>
        <w:t>Αγοράς Εξισορρόπησης (Β΄ 3076/2020)</w:t>
      </w:r>
      <w:r w:rsidR="003E18A7" w:rsidRPr="000004E8">
        <w:rPr>
          <w:rFonts w:eastAsia="Times New Roman" w:cstheme="minorHAnsi"/>
          <w:bCs/>
          <w:iCs/>
        </w:rPr>
        <w:t xml:space="preserve"> </w:t>
      </w:r>
      <w:r w:rsidRPr="000004E8">
        <w:rPr>
          <w:rFonts w:eastAsia="Times New Roman" w:cstheme="minorHAnsi"/>
          <w:bCs/>
          <w:iCs/>
        </w:rPr>
        <w:t xml:space="preserve">και του Κώδικα </w:t>
      </w:r>
      <w:r w:rsidR="00917BA2" w:rsidRPr="000004E8">
        <w:rPr>
          <w:rFonts w:eastAsia="Times New Roman" w:cstheme="minorHAnsi"/>
          <w:bCs/>
          <w:iCs/>
        </w:rPr>
        <w:t>ΔΑΠΕΕΠ</w:t>
      </w:r>
      <w:r w:rsidRPr="000004E8">
        <w:rPr>
          <w:rFonts w:eastAsia="Times New Roman" w:cstheme="minorHAnsi"/>
          <w:bCs/>
          <w:iCs/>
        </w:rPr>
        <w:t>.</w:t>
      </w:r>
    </w:p>
    <w:p w14:paraId="6DD9FF2E" w14:textId="6FE0570D" w:rsidR="00B91A66" w:rsidRPr="000004E8" w:rsidRDefault="003C2E94" w:rsidP="00B91A66">
      <w:pPr>
        <w:pStyle w:val="a3"/>
        <w:spacing w:after="200" w:line="300" w:lineRule="auto"/>
        <w:ind w:left="714"/>
        <w:jc w:val="both"/>
        <w:rPr>
          <w:rFonts w:cstheme="minorHAnsi"/>
          <w:bCs/>
        </w:rPr>
      </w:pPr>
      <w:r w:rsidRPr="000004E8">
        <w:rPr>
          <w:rFonts w:eastAsia="Times New Roman" w:cstheme="minorHAnsi"/>
          <w:bCs/>
          <w:iCs/>
        </w:rPr>
        <w:t>Τα ποσά αυτά καταβάλλονται</w:t>
      </w:r>
      <w:r w:rsidR="002D711D">
        <w:rPr>
          <w:rFonts w:eastAsia="Times New Roman" w:cstheme="minorHAnsi"/>
          <w:bCs/>
          <w:iCs/>
        </w:rPr>
        <w:t>,</w:t>
      </w:r>
      <w:r w:rsidRPr="000004E8">
        <w:rPr>
          <w:rFonts w:eastAsia="Times New Roman" w:cstheme="minorHAnsi"/>
          <w:bCs/>
          <w:iCs/>
        </w:rPr>
        <w:t xml:space="preserve"> κατά τρόπον ώστε να αντανακλούν </w:t>
      </w:r>
      <w:r w:rsidR="000218B3" w:rsidRPr="000004E8">
        <w:rPr>
          <w:rFonts w:eastAsia="Times New Roman" w:cstheme="minorHAnsi"/>
          <w:bCs/>
          <w:iCs/>
        </w:rPr>
        <w:t xml:space="preserve">κατ’ ελάχιστον το μεσοσταθμικό μεταβλητό κόστος των θερμικών συμβατικών σταθμών και να αναλογούν στην ενέργεια που εγχέεται κατά προτεραιότητα στο σύστημα μεταφοράς και στο δίκτυο διανομής της ηπειρωτικής χώρας και των συνδεδεμένων </w:t>
      </w:r>
      <w:r w:rsidR="005609CF" w:rsidRPr="000004E8">
        <w:rPr>
          <w:rFonts w:eastAsia="Times New Roman" w:cstheme="minorHAnsi"/>
          <w:bCs/>
          <w:iCs/>
        </w:rPr>
        <w:t xml:space="preserve">με αυτά νησιών, κατά τα οριζόμενα </w:t>
      </w:r>
      <w:r w:rsidR="002D711D">
        <w:rPr>
          <w:rFonts w:eastAsia="Times New Roman" w:cstheme="minorHAnsi"/>
          <w:bCs/>
          <w:iCs/>
        </w:rPr>
        <w:t>στο</w:t>
      </w:r>
      <w:r w:rsidR="005609CF" w:rsidRPr="000004E8">
        <w:rPr>
          <w:rFonts w:eastAsia="Times New Roman" w:cstheme="minorHAnsi"/>
          <w:bCs/>
          <w:iCs/>
        </w:rPr>
        <w:t xml:space="preserve"> άρθρο 9 του ν. 3468/2006, με μεθοδολογία που εξειδικεύεται στον Κώδικα </w:t>
      </w:r>
      <w:r w:rsidR="00917BA2" w:rsidRPr="000004E8">
        <w:rPr>
          <w:rFonts w:eastAsia="Times New Roman" w:cstheme="minorHAnsi"/>
          <w:bCs/>
          <w:iCs/>
        </w:rPr>
        <w:t>Δ</w:t>
      </w:r>
      <w:r w:rsidR="00DE1895">
        <w:rPr>
          <w:rFonts w:eastAsia="Times New Roman" w:cstheme="minorHAnsi"/>
          <w:bCs/>
          <w:iCs/>
        </w:rPr>
        <w:t>.</w:t>
      </w:r>
      <w:r w:rsidR="00917BA2" w:rsidRPr="000004E8">
        <w:rPr>
          <w:rFonts w:eastAsia="Times New Roman" w:cstheme="minorHAnsi"/>
          <w:bCs/>
          <w:iCs/>
        </w:rPr>
        <w:t>Α</w:t>
      </w:r>
      <w:r w:rsidR="00DE1895">
        <w:rPr>
          <w:rFonts w:eastAsia="Times New Roman" w:cstheme="minorHAnsi"/>
          <w:bCs/>
          <w:iCs/>
        </w:rPr>
        <w:t>.</w:t>
      </w:r>
      <w:r w:rsidR="00917BA2" w:rsidRPr="000004E8">
        <w:rPr>
          <w:rFonts w:eastAsia="Times New Roman" w:cstheme="minorHAnsi"/>
          <w:bCs/>
          <w:iCs/>
        </w:rPr>
        <w:t>Π</w:t>
      </w:r>
      <w:r w:rsidR="00DE1895">
        <w:rPr>
          <w:rFonts w:eastAsia="Times New Roman" w:cstheme="minorHAnsi"/>
          <w:bCs/>
          <w:iCs/>
        </w:rPr>
        <w:t>.</w:t>
      </w:r>
      <w:r w:rsidR="00917BA2" w:rsidRPr="000004E8">
        <w:rPr>
          <w:rFonts w:eastAsia="Times New Roman" w:cstheme="minorHAnsi"/>
          <w:bCs/>
          <w:iCs/>
        </w:rPr>
        <w:t>Ε</w:t>
      </w:r>
      <w:r w:rsidR="00DE1895">
        <w:rPr>
          <w:rFonts w:eastAsia="Times New Roman" w:cstheme="minorHAnsi"/>
          <w:bCs/>
          <w:iCs/>
        </w:rPr>
        <w:t>.</w:t>
      </w:r>
      <w:r w:rsidR="00917BA2" w:rsidRPr="000004E8">
        <w:rPr>
          <w:rFonts w:eastAsia="Times New Roman" w:cstheme="minorHAnsi"/>
          <w:bCs/>
          <w:iCs/>
        </w:rPr>
        <w:t>Ε</w:t>
      </w:r>
      <w:r w:rsidR="00DE1895">
        <w:rPr>
          <w:rFonts w:eastAsia="Times New Roman" w:cstheme="minorHAnsi"/>
          <w:bCs/>
          <w:iCs/>
        </w:rPr>
        <w:t>.</w:t>
      </w:r>
      <w:r w:rsidR="00917BA2" w:rsidRPr="000004E8">
        <w:rPr>
          <w:rFonts w:eastAsia="Times New Roman" w:cstheme="minorHAnsi"/>
          <w:bCs/>
          <w:iCs/>
        </w:rPr>
        <w:t>Π</w:t>
      </w:r>
      <w:r w:rsidR="00DE1895">
        <w:rPr>
          <w:rFonts w:eastAsia="Times New Roman" w:cstheme="minorHAnsi"/>
          <w:bCs/>
          <w:iCs/>
        </w:rPr>
        <w:t>.</w:t>
      </w:r>
      <w:r w:rsidR="00917BA2" w:rsidRPr="000004E8">
        <w:rPr>
          <w:rFonts w:eastAsia="Times New Roman" w:cstheme="minorHAnsi"/>
          <w:bCs/>
          <w:iCs/>
        </w:rPr>
        <w:t xml:space="preserve"> Α</w:t>
      </w:r>
      <w:r w:rsidR="00DE1895">
        <w:rPr>
          <w:rFonts w:eastAsia="Times New Roman" w:cstheme="minorHAnsi"/>
          <w:bCs/>
          <w:iCs/>
        </w:rPr>
        <w:t>.</w:t>
      </w:r>
      <w:r w:rsidR="00917BA2" w:rsidRPr="000004E8">
        <w:rPr>
          <w:rFonts w:eastAsia="Times New Roman" w:cstheme="minorHAnsi"/>
          <w:bCs/>
          <w:iCs/>
        </w:rPr>
        <w:t>Ε</w:t>
      </w:r>
      <w:r w:rsidR="005609CF" w:rsidRPr="000004E8">
        <w:rPr>
          <w:rFonts w:eastAsia="Times New Roman" w:cstheme="minorHAnsi"/>
          <w:bCs/>
          <w:iCs/>
        </w:rPr>
        <w:t>.</w:t>
      </w:r>
      <w:r w:rsidR="00CB0A7C" w:rsidRPr="000004E8">
        <w:rPr>
          <w:rFonts w:eastAsia="Times New Roman" w:cstheme="minorHAnsi"/>
          <w:bCs/>
          <w:iCs/>
        </w:rPr>
        <w:t>»</w:t>
      </w:r>
      <w:r w:rsidR="002832F3" w:rsidRPr="000004E8">
        <w:rPr>
          <w:rFonts w:eastAsia="Times New Roman" w:cstheme="minorHAnsi"/>
          <w:bCs/>
          <w:iCs/>
        </w:rPr>
        <w:t>.</w:t>
      </w:r>
    </w:p>
    <w:p w14:paraId="5712B4BD" w14:textId="07FDAE05" w:rsidR="00B91A66" w:rsidRPr="000004E8" w:rsidRDefault="00FD7716" w:rsidP="00B424CE">
      <w:pPr>
        <w:pStyle w:val="a3"/>
        <w:spacing w:after="200" w:line="300" w:lineRule="auto"/>
        <w:ind w:left="714"/>
        <w:jc w:val="both"/>
        <w:rPr>
          <w:rFonts w:eastAsia="Times New Roman" w:cstheme="minorHAnsi"/>
          <w:bCs/>
          <w:iCs/>
        </w:rPr>
      </w:pPr>
      <w:r w:rsidRPr="000004E8">
        <w:rPr>
          <w:rFonts w:eastAsia="Times New Roman" w:cstheme="minorHAnsi"/>
          <w:bCs/>
          <w:iCs/>
        </w:rPr>
        <w:t>β</w:t>
      </w:r>
      <w:r w:rsidR="00B424CE" w:rsidRPr="000004E8">
        <w:rPr>
          <w:rFonts w:eastAsia="Times New Roman" w:cstheme="minorHAnsi"/>
          <w:bCs/>
          <w:iCs/>
        </w:rPr>
        <w:t xml:space="preserve">) </w:t>
      </w:r>
      <w:r w:rsidR="00AC1508" w:rsidRPr="000004E8">
        <w:rPr>
          <w:rFonts w:eastAsia="Times New Roman" w:cstheme="minorHAnsi"/>
          <w:bCs/>
          <w:iCs/>
        </w:rPr>
        <w:t xml:space="preserve">Από την έναρξη λειτουργίας των </w:t>
      </w:r>
      <w:r w:rsidR="002832F3" w:rsidRPr="000004E8">
        <w:rPr>
          <w:rFonts w:eastAsia="Times New Roman" w:cstheme="minorHAnsi"/>
          <w:bCs/>
          <w:iCs/>
        </w:rPr>
        <w:t>α</w:t>
      </w:r>
      <w:r w:rsidR="00AC1508" w:rsidRPr="000004E8">
        <w:rPr>
          <w:rFonts w:eastAsia="Times New Roman" w:cstheme="minorHAnsi"/>
          <w:bCs/>
          <w:iCs/>
        </w:rPr>
        <w:t xml:space="preserve">γορών </w:t>
      </w:r>
      <w:r w:rsidR="002832F3" w:rsidRPr="000004E8">
        <w:rPr>
          <w:rFonts w:eastAsia="Times New Roman" w:cstheme="minorHAnsi"/>
          <w:bCs/>
          <w:iCs/>
        </w:rPr>
        <w:t>η</w:t>
      </w:r>
      <w:r w:rsidR="00AC1508" w:rsidRPr="000004E8">
        <w:rPr>
          <w:rFonts w:eastAsia="Times New Roman" w:cstheme="minorHAnsi"/>
          <w:bCs/>
          <w:iCs/>
        </w:rPr>
        <w:t>λε</w:t>
      </w:r>
      <w:r w:rsidR="00B424CE" w:rsidRPr="000004E8">
        <w:rPr>
          <w:rFonts w:eastAsia="Times New Roman" w:cstheme="minorHAnsi"/>
          <w:bCs/>
          <w:iCs/>
        </w:rPr>
        <w:t xml:space="preserve">κτρικής </w:t>
      </w:r>
      <w:r w:rsidR="002832F3" w:rsidRPr="000004E8">
        <w:rPr>
          <w:rFonts w:eastAsia="Times New Roman" w:cstheme="minorHAnsi"/>
          <w:bCs/>
          <w:iCs/>
        </w:rPr>
        <w:t>ε</w:t>
      </w:r>
      <w:r w:rsidR="00B424CE" w:rsidRPr="000004E8">
        <w:rPr>
          <w:rFonts w:eastAsia="Times New Roman" w:cstheme="minorHAnsi"/>
          <w:bCs/>
          <w:iCs/>
        </w:rPr>
        <w:t>νέργειας της περ. γ</w:t>
      </w:r>
      <w:r w:rsidR="002832F3" w:rsidRPr="000004E8">
        <w:rPr>
          <w:rFonts w:eastAsia="Times New Roman" w:cstheme="minorHAnsi"/>
          <w:bCs/>
          <w:iCs/>
        </w:rPr>
        <w:t>)</w:t>
      </w:r>
      <w:r w:rsidR="00B424CE" w:rsidRPr="000004E8">
        <w:rPr>
          <w:rFonts w:eastAsia="Times New Roman" w:cstheme="minorHAnsi"/>
          <w:bCs/>
          <w:iCs/>
        </w:rPr>
        <w:t xml:space="preserve"> του άρθρου 5 του ν. 4425/2016</w:t>
      </w:r>
      <w:r w:rsidR="002832F3" w:rsidRPr="000004E8">
        <w:rPr>
          <w:rFonts w:eastAsia="Times New Roman" w:cstheme="minorHAnsi"/>
          <w:bCs/>
          <w:iCs/>
        </w:rPr>
        <w:t>,</w:t>
      </w:r>
      <w:r w:rsidR="00B424CE" w:rsidRPr="000004E8">
        <w:rPr>
          <w:rFonts w:eastAsia="Times New Roman" w:cstheme="minorHAnsi"/>
          <w:bCs/>
          <w:iCs/>
        </w:rPr>
        <w:t xml:space="preserve"> </w:t>
      </w:r>
      <w:r w:rsidR="00AC1508" w:rsidRPr="000004E8">
        <w:rPr>
          <w:rFonts w:eastAsia="Times New Roman" w:cstheme="minorHAnsi"/>
          <w:bCs/>
          <w:iCs/>
        </w:rPr>
        <w:t>σύμφωνα με την απ</w:t>
      </w:r>
      <w:r w:rsidR="00E81F59" w:rsidRPr="000004E8">
        <w:rPr>
          <w:rFonts w:eastAsia="Times New Roman" w:cstheme="minorHAnsi"/>
          <w:bCs/>
          <w:iCs/>
        </w:rPr>
        <w:t>όφαση Ρ</w:t>
      </w:r>
      <w:r w:rsidR="00DE1895">
        <w:rPr>
          <w:rFonts w:eastAsia="Times New Roman" w:cstheme="minorHAnsi"/>
          <w:bCs/>
          <w:iCs/>
        </w:rPr>
        <w:t>.</w:t>
      </w:r>
      <w:r w:rsidR="00E81F59" w:rsidRPr="000004E8">
        <w:rPr>
          <w:rFonts w:eastAsia="Times New Roman" w:cstheme="minorHAnsi"/>
          <w:bCs/>
          <w:iCs/>
        </w:rPr>
        <w:t>Α</w:t>
      </w:r>
      <w:r w:rsidR="00DE1895">
        <w:rPr>
          <w:rFonts w:eastAsia="Times New Roman" w:cstheme="minorHAnsi"/>
          <w:bCs/>
          <w:iCs/>
        </w:rPr>
        <w:t>.</w:t>
      </w:r>
      <w:r w:rsidR="00E81F59" w:rsidRPr="000004E8">
        <w:rPr>
          <w:rFonts w:eastAsia="Times New Roman" w:cstheme="minorHAnsi"/>
          <w:bCs/>
          <w:iCs/>
        </w:rPr>
        <w:t>Ε</w:t>
      </w:r>
      <w:r w:rsidR="00DE1895">
        <w:rPr>
          <w:rFonts w:eastAsia="Times New Roman" w:cstheme="minorHAnsi"/>
          <w:bCs/>
          <w:iCs/>
        </w:rPr>
        <w:t>.</w:t>
      </w:r>
      <w:r w:rsidR="00E81F59" w:rsidRPr="000004E8">
        <w:rPr>
          <w:rFonts w:eastAsia="Times New Roman" w:cstheme="minorHAnsi"/>
          <w:bCs/>
          <w:iCs/>
        </w:rPr>
        <w:t xml:space="preserve"> 1298/2020</w:t>
      </w:r>
      <w:r w:rsidR="002832F3" w:rsidRPr="000004E8">
        <w:rPr>
          <w:rFonts w:eastAsia="Times New Roman" w:cstheme="minorHAnsi"/>
          <w:bCs/>
          <w:iCs/>
        </w:rPr>
        <w:t>, την 1</w:t>
      </w:r>
      <w:r w:rsidR="002832F3" w:rsidRPr="000004E8">
        <w:rPr>
          <w:rFonts w:eastAsia="Times New Roman" w:cstheme="minorHAnsi"/>
          <w:bCs/>
          <w:iCs/>
          <w:vertAlign w:val="superscript"/>
        </w:rPr>
        <w:t>η</w:t>
      </w:r>
      <w:r w:rsidR="002832F3" w:rsidRPr="000004E8">
        <w:rPr>
          <w:rFonts w:eastAsia="Times New Roman" w:cstheme="minorHAnsi"/>
          <w:bCs/>
          <w:iCs/>
        </w:rPr>
        <w:t xml:space="preserve">.11.2020, </w:t>
      </w:r>
      <w:r w:rsidR="00E81F59" w:rsidRPr="000004E8">
        <w:rPr>
          <w:rFonts w:eastAsia="Times New Roman" w:cstheme="minorHAnsi"/>
          <w:bCs/>
          <w:iCs/>
        </w:rPr>
        <w:t xml:space="preserve">προστίθενται </w:t>
      </w:r>
      <w:r w:rsidR="00071E48" w:rsidRPr="000004E8">
        <w:rPr>
          <w:rFonts w:eastAsia="Times New Roman" w:cstheme="minorHAnsi"/>
          <w:bCs/>
          <w:iCs/>
        </w:rPr>
        <w:t>υπο</w:t>
      </w:r>
      <w:r w:rsidR="00E81F59" w:rsidRPr="000004E8">
        <w:rPr>
          <w:rFonts w:eastAsia="Times New Roman" w:cstheme="minorHAnsi"/>
          <w:bCs/>
          <w:iCs/>
        </w:rPr>
        <w:t>περ</w:t>
      </w:r>
      <w:r w:rsidR="00071E48" w:rsidRPr="000004E8">
        <w:rPr>
          <w:rFonts w:eastAsia="Times New Roman" w:cstheme="minorHAnsi"/>
          <w:bCs/>
          <w:iCs/>
        </w:rPr>
        <w:t>.</w:t>
      </w:r>
      <w:r w:rsidR="00E81F59" w:rsidRPr="000004E8">
        <w:rPr>
          <w:rFonts w:eastAsia="Times New Roman" w:cstheme="minorHAnsi"/>
          <w:bCs/>
          <w:iCs/>
        </w:rPr>
        <w:t> εε) και στστ) στην π</w:t>
      </w:r>
      <w:r w:rsidR="00071E48" w:rsidRPr="000004E8">
        <w:rPr>
          <w:rFonts w:eastAsia="Times New Roman" w:cstheme="minorHAnsi"/>
          <w:bCs/>
          <w:iCs/>
        </w:rPr>
        <w:t>ε</w:t>
      </w:r>
      <w:r w:rsidR="00E81F59" w:rsidRPr="000004E8">
        <w:rPr>
          <w:rFonts w:eastAsia="Times New Roman" w:cstheme="minorHAnsi"/>
          <w:bCs/>
          <w:iCs/>
        </w:rPr>
        <w:t>ρ.</w:t>
      </w:r>
      <w:r w:rsidR="00AC1508" w:rsidRPr="000004E8">
        <w:rPr>
          <w:rFonts w:eastAsia="Times New Roman" w:cstheme="minorHAnsi"/>
          <w:bCs/>
          <w:iCs/>
        </w:rPr>
        <w:t xml:space="preserve"> α</w:t>
      </w:r>
      <w:r w:rsidR="00E81F59" w:rsidRPr="000004E8">
        <w:rPr>
          <w:rFonts w:eastAsia="Times New Roman" w:cstheme="minorHAnsi"/>
          <w:bCs/>
          <w:iCs/>
        </w:rPr>
        <w:t>) της παρ.</w:t>
      </w:r>
      <w:r w:rsidR="00AC1508" w:rsidRPr="000004E8">
        <w:rPr>
          <w:rFonts w:eastAsia="Times New Roman" w:cstheme="minorHAnsi"/>
          <w:bCs/>
          <w:iCs/>
        </w:rPr>
        <w:t xml:space="preserve"> 3 του άρθρ</w:t>
      </w:r>
      <w:r w:rsidR="00E81F59" w:rsidRPr="000004E8">
        <w:rPr>
          <w:rFonts w:eastAsia="Times New Roman" w:cstheme="minorHAnsi"/>
          <w:bCs/>
          <w:iCs/>
        </w:rPr>
        <w:t>ου 143 του ν. 4001/2011</w:t>
      </w:r>
      <w:r w:rsidR="0039686A" w:rsidRPr="000004E8">
        <w:rPr>
          <w:rFonts w:eastAsia="Times New Roman" w:cstheme="minorHAnsi"/>
          <w:bCs/>
          <w:iCs/>
        </w:rPr>
        <w:t xml:space="preserve"> (Α’ 179)</w:t>
      </w:r>
      <w:r w:rsidR="00E81F59" w:rsidRPr="000004E8">
        <w:rPr>
          <w:rFonts w:eastAsia="Times New Roman" w:cstheme="minorHAnsi"/>
          <w:bCs/>
          <w:iCs/>
        </w:rPr>
        <w:t xml:space="preserve"> </w:t>
      </w:r>
      <w:r w:rsidR="00AC1508" w:rsidRPr="000004E8">
        <w:rPr>
          <w:rFonts w:eastAsia="Times New Roman" w:cstheme="minorHAnsi"/>
          <w:bCs/>
          <w:iCs/>
        </w:rPr>
        <w:t>ως εξής:</w:t>
      </w:r>
    </w:p>
    <w:p w14:paraId="03AC8F61" w14:textId="3E6AFE53" w:rsidR="00B91A66" w:rsidRPr="000004E8" w:rsidRDefault="00DE2E38" w:rsidP="00B91A66">
      <w:pPr>
        <w:pStyle w:val="a3"/>
        <w:spacing w:after="200" w:line="300" w:lineRule="auto"/>
        <w:ind w:left="714"/>
        <w:jc w:val="both"/>
        <w:rPr>
          <w:rFonts w:eastAsia="Times New Roman" w:cstheme="minorHAnsi"/>
          <w:bCs/>
          <w:iCs/>
        </w:rPr>
      </w:pPr>
      <w:r w:rsidRPr="000004E8">
        <w:rPr>
          <w:rFonts w:eastAsia="Times New Roman" w:cstheme="minorHAnsi"/>
          <w:bCs/>
          <w:iCs/>
        </w:rPr>
        <w:t xml:space="preserve">«εε) </w:t>
      </w:r>
      <w:r w:rsidR="00897A2B" w:rsidRPr="000004E8">
        <w:rPr>
          <w:rFonts w:eastAsia="Times New Roman" w:cstheme="minorHAnsi"/>
          <w:bCs/>
          <w:iCs/>
        </w:rPr>
        <w:t>τ</w:t>
      </w:r>
      <w:r w:rsidRPr="000004E8">
        <w:rPr>
          <w:rFonts w:eastAsia="Times New Roman" w:cstheme="minorHAnsi"/>
          <w:bCs/>
          <w:iCs/>
        </w:rPr>
        <w:t>ο μέρος εκ των ποσών</w:t>
      </w:r>
      <w:r w:rsidR="00AC1508" w:rsidRPr="000004E8">
        <w:rPr>
          <w:rFonts w:eastAsia="Times New Roman" w:cstheme="minorHAnsi"/>
          <w:bCs/>
          <w:iCs/>
        </w:rPr>
        <w:t xml:space="preserve"> που προκύπτουν κατά τη διαδικασία εκκαθάρισης αποκλίσεων</w:t>
      </w:r>
      <w:r w:rsidR="00071E48" w:rsidRPr="000004E8">
        <w:rPr>
          <w:rFonts w:eastAsia="Times New Roman" w:cstheme="minorHAnsi"/>
          <w:bCs/>
          <w:iCs/>
        </w:rPr>
        <w:t>,</w:t>
      </w:r>
      <w:r w:rsidR="00AC1508" w:rsidRPr="000004E8">
        <w:rPr>
          <w:rFonts w:eastAsia="Times New Roman" w:cstheme="minorHAnsi"/>
          <w:bCs/>
          <w:iCs/>
        </w:rPr>
        <w:t xml:space="preserve"> το οποίο δεν χρεοπιστώνεται στους κατόχους σταθμών παραγωγής ηλεκτρικής ενέργειας από Α</w:t>
      </w:r>
      <w:r w:rsidR="00071E48" w:rsidRPr="000004E8">
        <w:rPr>
          <w:rFonts w:eastAsia="Times New Roman" w:cstheme="minorHAnsi"/>
          <w:bCs/>
          <w:iCs/>
        </w:rPr>
        <w:t>.</w:t>
      </w:r>
      <w:r w:rsidR="00AC1508" w:rsidRPr="000004E8">
        <w:rPr>
          <w:rFonts w:eastAsia="Times New Roman" w:cstheme="minorHAnsi"/>
          <w:bCs/>
          <w:iCs/>
        </w:rPr>
        <w:t>Π</w:t>
      </w:r>
      <w:r w:rsidR="00071E48" w:rsidRPr="000004E8">
        <w:rPr>
          <w:rFonts w:eastAsia="Times New Roman" w:cstheme="minorHAnsi"/>
          <w:bCs/>
          <w:iCs/>
        </w:rPr>
        <w:t>.</w:t>
      </w:r>
      <w:r w:rsidR="00AC1508" w:rsidRPr="000004E8">
        <w:rPr>
          <w:rFonts w:eastAsia="Times New Roman" w:cstheme="minorHAnsi"/>
          <w:bCs/>
          <w:iCs/>
        </w:rPr>
        <w:t>Ε</w:t>
      </w:r>
      <w:r w:rsidR="00071E48" w:rsidRPr="000004E8">
        <w:rPr>
          <w:rFonts w:eastAsia="Times New Roman" w:cstheme="minorHAnsi"/>
          <w:bCs/>
          <w:iCs/>
        </w:rPr>
        <w:t>.</w:t>
      </w:r>
      <w:r w:rsidR="00AC1508" w:rsidRPr="000004E8">
        <w:rPr>
          <w:rFonts w:eastAsia="Times New Roman" w:cstheme="minorHAnsi"/>
          <w:bCs/>
          <w:iCs/>
        </w:rPr>
        <w:t xml:space="preserve"> και Σ</w:t>
      </w:r>
      <w:r w:rsidR="00071E48" w:rsidRPr="000004E8">
        <w:rPr>
          <w:rFonts w:eastAsia="Times New Roman" w:cstheme="minorHAnsi"/>
          <w:bCs/>
          <w:iCs/>
        </w:rPr>
        <w:t>.</w:t>
      </w:r>
      <w:r w:rsidR="00AC1508" w:rsidRPr="000004E8">
        <w:rPr>
          <w:rFonts w:eastAsia="Times New Roman" w:cstheme="minorHAnsi"/>
          <w:bCs/>
          <w:iCs/>
        </w:rPr>
        <w:t>Η</w:t>
      </w:r>
      <w:r w:rsidR="00071E48" w:rsidRPr="000004E8">
        <w:rPr>
          <w:rFonts w:eastAsia="Times New Roman" w:cstheme="minorHAnsi"/>
          <w:bCs/>
          <w:iCs/>
        </w:rPr>
        <w:t>.</w:t>
      </w:r>
      <w:r w:rsidR="00AC1508" w:rsidRPr="000004E8">
        <w:rPr>
          <w:rFonts w:eastAsia="Times New Roman" w:cstheme="minorHAnsi"/>
          <w:bCs/>
          <w:iCs/>
        </w:rPr>
        <w:t>Θ</w:t>
      </w:r>
      <w:r w:rsidR="00071E48" w:rsidRPr="000004E8">
        <w:rPr>
          <w:rFonts w:eastAsia="Times New Roman" w:cstheme="minorHAnsi"/>
          <w:bCs/>
          <w:iCs/>
        </w:rPr>
        <w:t>.</w:t>
      </w:r>
      <w:r w:rsidR="00AC1508" w:rsidRPr="000004E8">
        <w:rPr>
          <w:rFonts w:eastAsia="Times New Roman" w:cstheme="minorHAnsi"/>
          <w:bCs/>
          <w:iCs/>
        </w:rPr>
        <w:t>Υ</w:t>
      </w:r>
      <w:r w:rsidR="00071E48" w:rsidRPr="000004E8">
        <w:rPr>
          <w:rFonts w:eastAsia="Times New Roman" w:cstheme="minorHAnsi"/>
          <w:bCs/>
          <w:iCs/>
        </w:rPr>
        <w:t>.</w:t>
      </w:r>
      <w:r w:rsidR="00AC1508" w:rsidRPr="000004E8">
        <w:rPr>
          <w:rFonts w:eastAsia="Times New Roman" w:cstheme="minorHAnsi"/>
          <w:bCs/>
          <w:iCs/>
        </w:rPr>
        <w:t>Α</w:t>
      </w:r>
      <w:r w:rsidR="00071E48" w:rsidRPr="000004E8">
        <w:rPr>
          <w:rFonts w:eastAsia="Times New Roman" w:cstheme="minorHAnsi"/>
          <w:bCs/>
          <w:iCs/>
        </w:rPr>
        <w:t>.</w:t>
      </w:r>
      <w:r w:rsidR="00AC1508" w:rsidRPr="000004E8">
        <w:rPr>
          <w:rFonts w:eastAsia="Times New Roman" w:cstheme="minorHAnsi"/>
          <w:bCs/>
          <w:iCs/>
        </w:rPr>
        <w:t xml:space="preserve"> που λειτουργούν στο πλαίσιο </w:t>
      </w:r>
      <w:r w:rsidR="00071E48" w:rsidRPr="000004E8">
        <w:rPr>
          <w:rFonts w:eastAsia="Times New Roman" w:cstheme="minorHAnsi"/>
          <w:bCs/>
          <w:iCs/>
        </w:rPr>
        <w:t>σ</w:t>
      </w:r>
      <w:r w:rsidR="00AC1508" w:rsidRPr="000004E8">
        <w:rPr>
          <w:rFonts w:eastAsia="Times New Roman" w:cstheme="minorHAnsi"/>
          <w:bCs/>
          <w:iCs/>
        </w:rPr>
        <w:t xml:space="preserve">ύμβασης </w:t>
      </w:r>
      <w:r w:rsidR="00071E48" w:rsidRPr="000004E8">
        <w:rPr>
          <w:rFonts w:eastAsia="Times New Roman" w:cstheme="minorHAnsi"/>
          <w:bCs/>
          <w:iCs/>
        </w:rPr>
        <w:t>λ</w:t>
      </w:r>
      <w:r w:rsidR="00AC1508" w:rsidRPr="000004E8">
        <w:rPr>
          <w:rFonts w:eastAsia="Times New Roman" w:cstheme="minorHAnsi"/>
          <w:bCs/>
          <w:iCs/>
        </w:rPr>
        <w:t xml:space="preserve">ειτουργικής </w:t>
      </w:r>
      <w:r w:rsidR="00071E48" w:rsidRPr="000004E8">
        <w:rPr>
          <w:rFonts w:eastAsia="Times New Roman" w:cstheme="minorHAnsi"/>
          <w:bCs/>
          <w:iCs/>
        </w:rPr>
        <w:t>ε</w:t>
      </w:r>
      <w:r w:rsidR="00AC1508" w:rsidRPr="000004E8">
        <w:rPr>
          <w:rFonts w:eastAsia="Times New Roman" w:cstheme="minorHAnsi"/>
          <w:bCs/>
          <w:iCs/>
        </w:rPr>
        <w:t xml:space="preserve">νίσχυσης </w:t>
      </w:r>
      <w:r w:rsidR="00071E48" w:rsidRPr="000004E8">
        <w:rPr>
          <w:rFonts w:eastAsia="Times New Roman" w:cstheme="minorHAnsi"/>
          <w:bCs/>
          <w:iCs/>
        </w:rPr>
        <w:t>δ</w:t>
      </w:r>
      <w:r w:rsidR="00AC1508" w:rsidRPr="000004E8">
        <w:rPr>
          <w:rFonts w:eastAsia="Times New Roman" w:cstheme="minorHAnsi"/>
          <w:bCs/>
          <w:iCs/>
        </w:rPr>
        <w:t xml:space="preserve">ιαφορικής </w:t>
      </w:r>
      <w:r w:rsidR="00071E48" w:rsidRPr="000004E8">
        <w:rPr>
          <w:rFonts w:eastAsia="Times New Roman" w:cstheme="minorHAnsi"/>
          <w:bCs/>
          <w:iCs/>
        </w:rPr>
        <w:lastRenderedPageBreak/>
        <w:t>π</w:t>
      </w:r>
      <w:r w:rsidR="00AC1508" w:rsidRPr="000004E8">
        <w:rPr>
          <w:rFonts w:eastAsia="Times New Roman" w:cstheme="minorHAnsi"/>
          <w:bCs/>
          <w:iCs/>
        </w:rPr>
        <w:t>ροσ</w:t>
      </w:r>
      <w:r w:rsidRPr="000004E8">
        <w:rPr>
          <w:rFonts w:eastAsia="Times New Roman" w:cstheme="minorHAnsi"/>
          <w:bCs/>
          <w:iCs/>
        </w:rPr>
        <w:t>αύξησης, κατά τη συμμετοχή τους</w:t>
      </w:r>
      <w:r w:rsidR="00AC1508" w:rsidRPr="000004E8">
        <w:rPr>
          <w:rFonts w:eastAsia="Times New Roman" w:cstheme="minorHAnsi"/>
          <w:bCs/>
          <w:iCs/>
        </w:rPr>
        <w:t xml:space="preserve"> είτε απευθείας είτε μ</w:t>
      </w:r>
      <w:r w:rsidRPr="000004E8">
        <w:rPr>
          <w:rFonts w:eastAsia="Times New Roman" w:cstheme="minorHAnsi"/>
          <w:bCs/>
          <w:iCs/>
        </w:rPr>
        <w:t xml:space="preserve">έσω </w:t>
      </w:r>
      <w:r w:rsidR="0039686A" w:rsidRPr="000004E8">
        <w:rPr>
          <w:rFonts w:eastAsia="Times New Roman" w:cstheme="minorHAnsi"/>
          <w:bCs/>
          <w:iCs/>
        </w:rPr>
        <w:t>Φ</w:t>
      </w:r>
      <w:r w:rsidR="00897A2B" w:rsidRPr="000004E8">
        <w:rPr>
          <w:rFonts w:eastAsia="Times New Roman" w:cstheme="minorHAnsi"/>
          <w:bCs/>
          <w:iCs/>
        </w:rPr>
        <w:t xml:space="preserve">ορέα </w:t>
      </w:r>
      <w:r w:rsidR="0039686A" w:rsidRPr="000004E8">
        <w:rPr>
          <w:rFonts w:eastAsia="Times New Roman" w:cstheme="minorHAnsi"/>
          <w:bCs/>
          <w:iCs/>
        </w:rPr>
        <w:t>Σ</w:t>
      </w:r>
      <w:r w:rsidR="00897A2B" w:rsidRPr="000004E8">
        <w:rPr>
          <w:rFonts w:eastAsia="Times New Roman" w:cstheme="minorHAnsi"/>
          <w:bCs/>
          <w:iCs/>
        </w:rPr>
        <w:t xml:space="preserve">ωρευτικής </w:t>
      </w:r>
      <w:r w:rsidR="0039686A" w:rsidRPr="000004E8">
        <w:rPr>
          <w:rFonts w:eastAsia="Times New Roman" w:cstheme="minorHAnsi"/>
          <w:bCs/>
          <w:iCs/>
        </w:rPr>
        <w:t>Ε</w:t>
      </w:r>
      <w:r w:rsidR="00897A2B" w:rsidRPr="000004E8">
        <w:rPr>
          <w:rFonts w:eastAsia="Times New Roman" w:cstheme="minorHAnsi"/>
          <w:bCs/>
          <w:iCs/>
        </w:rPr>
        <w:t>κπροσώπησης (</w:t>
      </w:r>
      <w:r w:rsidRPr="000004E8">
        <w:rPr>
          <w:rFonts w:eastAsia="Times New Roman" w:cstheme="minorHAnsi"/>
          <w:bCs/>
          <w:iCs/>
        </w:rPr>
        <w:t>Φο.Σ.Ε.</w:t>
      </w:r>
      <w:r w:rsidR="00897A2B" w:rsidRPr="000004E8">
        <w:rPr>
          <w:rFonts w:eastAsia="Times New Roman" w:cstheme="minorHAnsi"/>
          <w:bCs/>
          <w:iCs/>
        </w:rPr>
        <w:t>)</w:t>
      </w:r>
      <w:r w:rsidR="00AC1508" w:rsidRPr="000004E8">
        <w:rPr>
          <w:rFonts w:eastAsia="Times New Roman" w:cstheme="minorHAnsi"/>
          <w:bCs/>
          <w:iCs/>
        </w:rPr>
        <w:t xml:space="preserve"> στις </w:t>
      </w:r>
      <w:r w:rsidR="00071E48" w:rsidRPr="000004E8">
        <w:rPr>
          <w:rFonts w:eastAsia="Times New Roman" w:cstheme="minorHAnsi"/>
          <w:bCs/>
          <w:iCs/>
        </w:rPr>
        <w:t>α</w:t>
      </w:r>
      <w:r w:rsidR="00AC1508" w:rsidRPr="000004E8">
        <w:rPr>
          <w:rFonts w:eastAsia="Times New Roman" w:cstheme="minorHAnsi"/>
          <w:bCs/>
          <w:iCs/>
        </w:rPr>
        <w:t xml:space="preserve">γορές </w:t>
      </w:r>
      <w:r w:rsidR="00071E48" w:rsidRPr="000004E8">
        <w:rPr>
          <w:rFonts w:eastAsia="Times New Roman" w:cstheme="minorHAnsi"/>
          <w:bCs/>
          <w:iCs/>
        </w:rPr>
        <w:t>η</w:t>
      </w:r>
      <w:r w:rsidR="00AC1508" w:rsidRPr="000004E8">
        <w:rPr>
          <w:rFonts w:eastAsia="Times New Roman" w:cstheme="minorHAnsi"/>
          <w:bCs/>
          <w:iCs/>
        </w:rPr>
        <w:t>λε</w:t>
      </w:r>
      <w:r w:rsidRPr="000004E8">
        <w:rPr>
          <w:rFonts w:eastAsia="Times New Roman" w:cstheme="minorHAnsi"/>
          <w:bCs/>
          <w:iCs/>
        </w:rPr>
        <w:t xml:space="preserve">κτρικής </w:t>
      </w:r>
      <w:r w:rsidR="00071E48" w:rsidRPr="000004E8">
        <w:rPr>
          <w:rFonts w:eastAsia="Times New Roman" w:cstheme="minorHAnsi"/>
          <w:bCs/>
          <w:iCs/>
        </w:rPr>
        <w:t>ε</w:t>
      </w:r>
      <w:r w:rsidRPr="000004E8">
        <w:rPr>
          <w:rFonts w:eastAsia="Times New Roman" w:cstheme="minorHAnsi"/>
          <w:bCs/>
          <w:iCs/>
        </w:rPr>
        <w:t>νέργειας της περ.</w:t>
      </w:r>
      <w:r w:rsidR="00AC1508" w:rsidRPr="000004E8">
        <w:rPr>
          <w:rFonts w:eastAsia="Times New Roman" w:cstheme="minorHAnsi"/>
          <w:bCs/>
          <w:iCs/>
        </w:rPr>
        <w:t xml:space="preserve"> γ</w:t>
      </w:r>
      <w:r w:rsidRPr="000004E8">
        <w:rPr>
          <w:rFonts w:eastAsia="Times New Roman" w:cstheme="minorHAnsi"/>
          <w:bCs/>
          <w:iCs/>
        </w:rPr>
        <w:t xml:space="preserve">) του άρθρου 5 του ν. 4425/2016 </w:t>
      </w:r>
      <w:r w:rsidR="00AC1508" w:rsidRPr="000004E8">
        <w:rPr>
          <w:rFonts w:eastAsia="Times New Roman" w:cstheme="minorHAnsi"/>
          <w:bCs/>
          <w:iCs/>
        </w:rPr>
        <w:t>εντός του μεταβατικού διαστήματος και μέχρι την ανάληψη από τους κατόχους των ανωτέρω αδειών πλήρους υποχρέωσης εξισορρόπησης, σύμφωνα με τις προβλέψεις του Κανονισμού του Χρηματιστηρίου Ενέργειας, του Κανονισμού Εκκαθάρισης Συναλλαγών Αγοράς Επόμενης Ημέρας και Ενδοημερήσιας Αγοράς, του Κανονισμού Αγοράς Εξισορρόπησης, του Κανονισμού Εκκαθάρισης Θέσεων</w:t>
      </w:r>
      <w:r w:rsidR="003E18A7" w:rsidRPr="000004E8">
        <w:rPr>
          <w:rFonts w:eastAsia="Times New Roman" w:cstheme="minorHAnsi"/>
          <w:bCs/>
          <w:iCs/>
        </w:rPr>
        <w:t xml:space="preserve"> </w:t>
      </w:r>
      <w:r w:rsidR="00AC1508" w:rsidRPr="000004E8">
        <w:rPr>
          <w:rFonts w:eastAsia="Times New Roman" w:cstheme="minorHAnsi"/>
          <w:bCs/>
          <w:iCs/>
        </w:rPr>
        <w:t xml:space="preserve">Αγοράς Εξισορρόπησης και του Κώδικα </w:t>
      </w:r>
      <w:r w:rsidR="0039686A" w:rsidRPr="000004E8">
        <w:rPr>
          <w:rFonts w:eastAsia="Times New Roman" w:cstheme="minorHAnsi"/>
          <w:bCs/>
          <w:iCs/>
        </w:rPr>
        <w:t>ΔΑΠΕΕΠ</w:t>
      </w:r>
      <w:r w:rsidR="00897A2B" w:rsidRPr="000004E8">
        <w:rPr>
          <w:rFonts w:eastAsia="Times New Roman" w:cstheme="minorHAnsi"/>
          <w:bCs/>
          <w:iCs/>
        </w:rPr>
        <w:t>,</w:t>
      </w:r>
    </w:p>
    <w:p w14:paraId="0E05321D" w14:textId="649D9315" w:rsidR="00B91A66" w:rsidRPr="000004E8" w:rsidRDefault="00AC1508" w:rsidP="00B91A66">
      <w:pPr>
        <w:pStyle w:val="a3"/>
        <w:spacing w:after="200" w:line="300" w:lineRule="auto"/>
        <w:ind w:left="714"/>
        <w:jc w:val="both"/>
        <w:rPr>
          <w:rFonts w:eastAsia="Times New Roman" w:cstheme="minorHAnsi"/>
          <w:bCs/>
          <w:iCs/>
        </w:rPr>
      </w:pPr>
      <w:r w:rsidRPr="000004E8">
        <w:rPr>
          <w:rFonts w:eastAsia="Times New Roman" w:cstheme="minorHAnsi"/>
          <w:bCs/>
          <w:iCs/>
        </w:rPr>
        <w:t>στστ) τα ποσά που προκύπτουν κατά τη διαδικασία εκκαθάρισης αποκλίσεων</w:t>
      </w:r>
      <w:r w:rsidR="00897A2B" w:rsidRPr="000004E8">
        <w:rPr>
          <w:rFonts w:eastAsia="Times New Roman" w:cstheme="minorHAnsi"/>
          <w:bCs/>
          <w:iCs/>
        </w:rPr>
        <w:t>,</w:t>
      </w:r>
      <w:r w:rsidRPr="000004E8">
        <w:rPr>
          <w:rFonts w:eastAsia="Times New Roman" w:cstheme="minorHAnsi"/>
          <w:bCs/>
          <w:iCs/>
        </w:rPr>
        <w:t xml:space="preserve"> τα οποία αφορούν </w:t>
      </w:r>
      <w:r w:rsidR="00897A2B" w:rsidRPr="000004E8">
        <w:rPr>
          <w:rFonts w:eastAsia="Times New Roman" w:cstheme="minorHAnsi"/>
          <w:bCs/>
          <w:iCs/>
        </w:rPr>
        <w:t xml:space="preserve">σε </w:t>
      </w:r>
      <w:r w:rsidRPr="000004E8">
        <w:rPr>
          <w:rFonts w:eastAsia="Times New Roman" w:cstheme="minorHAnsi"/>
          <w:bCs/>
          <w:iCs/>
        </w:rPr>
        <w:t>σταθμούς παραγωγής ηλεκτρικής ενέργειας από Α</w:t>
      </w:r>
      <w:r w:rsidR="00897A2B" w:rsidRPr="000004E8">
        <w:rPr>
          <w:rFonts w:eastAsia="Times New Roman" w:cstheme="minorHAnsi"/>
          <w:bCs/>
          <w:iCs/>
        </w:rPr>
        <w:t>.</w:t>
      </w:r>
      <w:r w:rsidRPr="000004E8">
        <w:rPr>
          <w:rFonts w:eastAsia="Times New Roman" w:cstheme="minorHAnsi"/>
          <w:bCs/>
          <w:iCs/>
        </w:rPr>
        <w:t>Π</w:t>
      </w:r>
      <w:r w:rsidR="00897A2B" w:rsidRPr="000004E8">
        <w:rPr>
          <w:rFonts w:eastAsia="Times New Roman" w:cstheme="minorHAnsi"/>
          <w:bCs/>
          <w:iCs/>
        </w:rPr>
        <w:t>.</w:t>
      </w:r>
      <w:r w:rsidRPr="000004E8">
        <w:rPr>
          <w:rFonts w:eastAsia="Times New Roman" w:cstheme="minorHAnsi"/>
          <w:bCs/>
          <w:iCs/>
        </w:rPr>
        <w:t>Ε</w:t>
      </w:r>
      <w:r w:rsidR="00897A2B" w:rsidRPr="000004E8">
        <w:rPr>
          <w:rFonts w:eastAsia="Times New Roman" w:cstheme="minorHAnsi"/>
          <w:bCs/>
          <w:iCs/>
        </w:rPr>
        <w:t>.</w:t>
      </w:r>
      <w:r w:rsidRPr="000004E8">
        <w:rPr>
          <w:rFonts w:eastAsia="Times New Roman" w:cstheme="minorHAnsi"/>
          <w:bCs/>
          <w:iCs/>
        </w:rPr>
        <w:t xml:space="preserve"> και Σ</w:t>
      </w:r>
      <w:r w:rsidR="000D4B3E" w:rsidRPr="000004E8">
        <w:rPr>
          <w:rFonts w:eastAsia="Times New Roman" w:cstheme="minorHAnsi"/>
          <w:bCs/>
          <w:iCs/>
        </w:rPr>
        <w:t>.</w:t>
      </w:r>
      <w:r w:rsidRPr="000004E8">
        <w:rPr>
          <w:rFonts w:eastAsia="Times New Roman" w:cstheme="minorHAnsi"/>
          <w:bCs/>
          <w:iCs/>
        </w:rPr>
        <w:t>Η</w:t>
      </w:r>
      <w:r w:rsidR="000D4B3E" w:rsidRPr="000004E8">
        <w:rPr>
          <w:rFonts w:eastAsia="Times New Roman" w:cstheme="minorHAnsi"/>
          <w:bCs/>
          <w:iCs/>
        </w:rPr>
        <w:t>.</w:t>
      </w:r>
      <w:r w:rsidRPr="000004E8">
        <w:rPr>
          <w:rFonts w:eastAsia="Times New Roman" w:cstheme="minorHAnsi"/>
          <w:bCs/>
          <w:iCs/>
        </w:rPr>
        <w:t>Θ</w:t>
      </w:r>
      <w:r w:rsidR="000D4B3E" w:rsidRPr="000004E8">
        <w:rPr>
          <w:rFonts w:eastAsia="Times New Roman" w:cstheme="minorHAnsi"/>
          <w:bCs/>
          <w:iCs/>
        </w:rPr>
        <w:t>.</w:t>
      </w:r>
      <w:r w:rsidRPr="000004E8">
        <w:rPr>
          <w:rFonts w:eastAsia="Times New Roman" w:cstheme="minorHAnsi"/>
          <w:bCs/>
          <w:iCs/>
        </w:rPr>
        <w:t>Υ</w:t>
      </w:r>
      <w:r w:rsidR="000D4B3E" w:rsidRPr="000004E8">
        <w:rPr>
          <w:rFonts w:eastAsia="Times New Roman" w:cstheme="minorHAnsi"/>
          <w:bCs/>
          <w:iCs/>
        </w:rPr>
        <w:t>.</w:t>
      </w:r>
      <w:r w:rsidRPr="000004E8">
        <w:rPr>
          <w:rFonts w:eastAsia="Times New Roman" w:cstheme="minorHAnsi"/>
          <w:bCs/>
          <w:iCs/>
        </w:rPr>
        <w:t>Α</w:t>
      </w:r>
      <w:r w:rsidR="000D4B3E" w:rsidRPr="000004E8">
        <w:rPr>
          <w:rFonts w:eastAsia="Times New Roman" w:cstheme="minorHAnsi"/>
          <w:bCs/>
          <w:iCs/>
        </w:rPr>
        <w:t>.</w:t>
      </w:r>
      <w:r w:rsidRPr="000004E8">
        <w:rPr>
          <w:rFonts w:eastAsia="Times New Roman" w:cstheme="minorHAnsi"/>
          <w:bCs/>
          <w:iCs/>
        </w:rPr>
        <w:t xml:space="preserve">, οι οποίοι λειτουργούν μέσω </w:t>
      </w:r>
      <w:r w:rsidR="0039686A" w:rsidRPr="00D20891">
        <w:rPr>
          <w:rFonts w:eastAsia="Times New Roman" w:cstheme="minorHAnsi"/>
          <w:bCs/>
          <w:iCs/>
          <w:color w:val="000000" w:themeColor="text1"/>
        </w:rPr>
        <w:t>Φ</w:t>
      </w:r>
      <w:r w:rsidR="000D4B3E" w:rsidRPr="00D20891">
        <w:rPr>
          <w:rFonts w:cstheme="minorHAnsi"/>
          <w:color w:val="000000" w:themeColor="text1"/>
          <w:shd w:val="clear" w:color="auto" w:fill="FFFFFF"/>
        </w:rPr>
        <w:t xml:space="preserve">ορέα </w:t>
      </w:r>
      <w:r w:rsidR="0039686A" w:rsidRPr="00D20891">
        <w:rPr>
          <w:rFonts w:cstheme="minorHAnsi"/>
          <w:color w:val="000000" w:themeColor="text1"/>
          <w:shd w:val="clear" w:color="auto" w:fill="FFFFFF"/>
        </w:rPr>
        <w:t>Σ</w:t>
      </w:r>
      <w:r w:rsidR="000D4B3E" w:rsidRPr="00D20891">
        <w:rPr>
          <w:rFonts w:cstheme="minorHAnsi"/>
          <w:color w:val="000000" w:themeColor="text1"/>
          <w:shd w:val="clear" w:color="auto" w:fill="FFFFFF"/>
        </w:rPr>
        <w:t xml:space="preserve">ωρευτικής </w:t>
      </w:r>
      <w:r w:rsidR="0039686A" w:rsidRPr="00D20891">
        <w:rPr>
          <w:rFonts w:cstheme="minorHAnsi"/>
          <w:color w:val="000000" w:themeColor="text1"/>
          <w:shd w:val="clear" w:color="auto" w:fill="FFFFFF"/>
        </w:rPr>
        <w:t>Ε</w:t>
      </w:r>
      <w:r w:rsidR="000D4B3E" w:rsidRPr="00D20891">
        <w:rPr>
          <w:rFonts w:cstheme="minorHAnsi"/>
          <w:color w:val="000000" w:themeColor="text1"/>
          <w:shd w:val="clear" w:color="auto" w:fill="FFFFFF"/>
        </w:rPr>
        <w:t xml:space="preserve">κπροσώπησης </w:t>
      </w:r>
      <w:r w:rsidR="0039686A" w:rsidRPr="00D20891">
        <w:rPr>
          <w:rFonts w:cstheme="minorHAnsi"/>
          <w:color w:val="000000" w:themeColor="text1"/>
          <w:shd w:val="clear" w:color="auto" w:fill="FFFFFF"/>
        </w:rPr>
        <w:t>Τ</w:t>
      </w:r>
      <w:r w:rsidR="000D4B3E" w:rsidRPr="00D20891">
        <w:rPr>
          <w:rFonts w:cstheme="minorHAnsi"/>
          <w:color w:val="000000" w:themeColor="text1"/>
          <w:shd w:val="clear" w:color="auto" w:fill="FFFFFF"/>
        </w:rPr>
        <w:t xml:space="preserve">ελευταίου </w:t>
      </w:r>
      <w:r w:rsidR="0039686A" w:rsidRPr="00D20891">
        <w:rPr>
          <w:rFonts w:cstheme="minorHAnsi"/>
          <w:color w:val="000000" w:themeColor="text1"/>
          <w:shd w:val="clear" w:color="auto" w:fill="FFFFFF"/>
        </w:rPr>
        <w:t>Κ</w:t>
      </w:r>
      <w:r w:rsidR="000D4B3E" w:rsidRPr="00D20891">
        <w:rPr>
          <w:rFonts w:cstheme="minorHAnsi"/>
          <w:color w:val="000000" w:themeColor="text1"/>
          <w:shd w:val="clear" w:color="auto" w:fill="FFFFFF"/>
        </w:rPr>
        <w:t xml:space="preserve">αταφυγίου </w:t>
      </w:r>
      <w:r w:rsidR="000D4B3E" w:rsidRPr="000004E8">
        <w:rPr>
          <w:rFonts w:cstheme="minorHAnsi"/>
          <w:color w:val="666666"/>
          <w:shd w:val="clear" w:color="auto" w:fill="FFFFFF"/>
        </w:rPr>
        <w:t>(</w:t>
      </w:r>
      <w:r w:rsidRPr="000004E8">
        <w:rPr>
          <w:rFonts w:eastAsia="Times New Roman" w:cstheme="minorHAnsi"/>
          <w:bCs/>
          <w:iCs/>
        </w:rPr>
        <w:t>Φο.Σ.Ε.Τε.Κ.</w:t>
      </w:r>
      <w:r w:rsidR="000D4B3E" w:rsidRPr="000004E8">
        <w:rPr>
          <w:rFonts w:eastAsia="Times New Roman" w:cstheme="minorHAnsi"/>
          <w:bCs/>
          <w:iCs/>
        </w:rPr>
        <w:t>)</w:t>
      </w:r>
      <w:r w:rsidRPr="000004E8">
        <w:rPr>
          <w:rFonts w:eastAsia="Times New Roman" w:cstheme="minorHAnsi"/>
          <w:bCs/>
          <w:iCs/>
        </w:rPr>
        <w:t xml:space="preserve"> και έως την </w:t>
      </w:r>
      <w:r w:rsidR="002265D3" w:rsidRPr="000004E8">
        <w:rPr>
          <w:rFonts w:eastAsia="Times New Roman" w:cstheme="minorHAnsi"/>
          <w:bCs/>
          <w:iCs/>
        </w:rPr>
        <w:t>31</w:t>
      </w:r>
      <w:r w:rsidR="002265D3" w:rsidRPr="000004E8">
        <w:rPr>
          <w:rFonts w:eastAsia="Times New Roman" w:cstheme="minorHAnsi"/>
          <w:bCs/>
          <w:iCs/>
          <w:vertAlign w:val="superscript"/>
        </w:rPr>
        <w:t>η</w:t>
      </w:r>
      <w:r w:rsidR="002265D3" w:rsidRPr="000004E8">
        <w:rPr>
          <w:rFonts w:eastAsia="Times New Roman" w:cstheme="minorHAnsi"/>
          <w:bCs/>
          <w:iCs/>
        </w:rPr>
        <w:t xml:space="preserve"> Δεκεμβρίου 2022, </w:t>
      </w:r>
      <w:r w:rsidRPr="000004E8">
        <w:rPr>
          <w:rFonts w:eastAsia="Times New Roman" w:cstheme="minorHAnsi"/>
          <w:bCs/>
          <w:iCs/>
        </w:rPr>
        <w:t xml:space="preserve">ημερομηνία που καθορίζεται στο πρώτο εδάφιο του άρθρου 2 της </w:t>
      </w:r>
      <w:r w:rsidR="004A1EAA" w:rsidRPr="000004E8">
        <w:rPr>
          <w:rFonts w:eastAsia="Times New Roman" w:cstheme="minorHAnsi"/>
          <w:bCs/>
          <w:iCs/>
        </w:rPr>
        <w:t>υπ</w:t>
      </w:r>
      <w:r w:rsidR="009A48D8" w:rsidRPr="000004E8">
        <w:rPr>
          <w:rFonts w:eastAsia="Times New Roman" w:cstheme="minorHAnsi"/>
          <w:bCs/>
          <w:iCs/>
        </w:rPr>
        <w:t>ό στοιχεία</w:t>
      </w:r>
      <w:r w:rsidR="0039686A" w:rsidRPr="000004E8">
        <w:rPr>
          <w:rFonts w:eastAsia="Times New Roman" w:cstheme="minorHAnsi"/>
          <w:bCs/>
          <w:iCs/>
        </w:rPr>
        <w:t xml:space="preserve"> </w:t>
      </w:r>
      <w:r w:rsidRPr="000004E8">
        <w:rPr>
          <w:rFonts w:eastAsia="Times New Roman" w:cstheme="minorHAnsi"/>
          <w:bCs/>
          <w:iCs/>
        </w:rPr>
        <w:t>ΥΠΕΝ/ΔΑΠΕΕΚ/255</w:t>
      </w:r>
      <w:r w:rsidR="004A1EAA" w:rsidRPr="000004E8">
        <w:rPr>
          <w:rFonts w:eastAsia="Times New Roman" w:cstheme="minorHAnsi"/>
          <w:bCs/>
          <w:iCs/>
        </w:rPr>
        <w:t>12/883</w:t>
      </w:r>
      <w:r w:rsidR="0039686A" w:rsidRPr="000004E8">
        <w:rPr>
          <w:rFonts w:eastAsia="Times New Roman" w:cstheme="minorHAnsi"/>
          <w:bCs/>
          <w:iCs/>
        </w:rPr>
        <w:t>/2019</w:t>
      </w:r>
      <w:r w:rsidR="004A1EAA" w:rsidRPr="000004E8">
        <w:rPr>
          <w:rFonts w:eastAsia="Times New Roman" w:cstheme="minorHAnsi"/>
          <w:bCs/>
          <w:iCs/>
        </w:rPr>
        <w:t xml:space="preserve"> </w:t>
      </w:r>
      <w:r w:rsidR="002265D3" w:rsidRPr="000004E8">
        <w:rPr>
          <w:rFonts w:eastAsia="Times New Roman" w:cstheme="minorHAnsi"/>
          <w:bCs/>
          <w:iCs/>
        </w:rPr>
        <w:t>α</w:t>
      </w:r>
      <w:r w:rsidRPr="000004E8">
        <w:rPr>
          <w:rFonts w:eastAsia="Times New Roman" w:cstheme="minorHAnsi"/>
          <w:bCs/>
          <w:iCs/>
        </w:rPr>
        <w:t xml:space="preserve">πόφασης </w:t>
      </w:r>
      <w:r w:rsidR="002265D3" w:rsidRPr="000004E8">
        <w:rPr>
          <w:rFonts w:eastAsia="Times New Roman" w:cstheme="minorHAnsi"/>
          <w:bCs/>
          <w:iCs/>
        </w:rPr>
        <w:t xml:space="preserve">του Υπουργού Περιβάλλοντος και Ενέργειας </w:t>
      </w:r>
      <w:r w:rsidR="0039686A" w:rsidRPr="000004E8">
        <w:rPr>
          <w:rFonts w:eastAsia="Times New Roman" w:cstheme="minorHAnsi"/>
          <w:bCs/>
          <w:iCs/>
        </w:rPr>
        <w:t xml:space="preserve">(Β’ 1020) </w:t>
      </w:r>
      <w:r w:rsidRPr="000004E8">
        <w:rPr>
          <w:rFonts w:eastAsia="Times New Roman" w:cstheme="minorHAnsi"/>
          <w:bCs/>
          <w:iCs/>
        </w:rPr>
        <w:t>στις Αγορές Ηλεκτρικής Ενέργειας της περ</w:t>
      </w:r>
      <w:r w:rsidR="0039686A" w:rsidRPr="000004E8">
        <w:rPr>
          <w:rFonts w:eastAsia="Times New Roman" w:cstheme="minorHAnsi"/>
          <w:bCs/>
          <w:iCs/>
        </w:rPr>
        <w:t>.</w:t>
      </w:r>
      <w:r w:rsidRPr="000004E8">
        <w:rPr>
          <w:rFonts w:eastAsia="Times New Roman" w:cstheme="minorHAnsi"/>
          <w:bCs/>
          <w:iCs/>
        </w:rPr>
        <w:t xml:space="preserve"> γ</w:t>
      </w:r>
      <w:r w:rsidR="00DE1895">
        <w:rPr>
          <w:rFonts w:eastAsia="Times New Roman" w:cstheme="minorHAnsi"/>
          <w:bCs/>
          <w:iCs/>
        </w:rPr>
        <w:t>) του άρθρου 5 του ν. 4425/2016</w:t>
      </w:r>
      <w:r w:rsidR="004A1EAA" w:rsidRPr="000004E8">
        <w:rPr>
          <w:rFonts w:eastAsia="Times New Roman" w:cstheme="minorHAnsi"/>
          <w:bCs/>
          <w:iCs/>
        </w:rPr>
        <w:t xml:space="preserve">, </w:t>
      </w:r>
      <w:r w:rsidRPr="000004E8">
        <w:rPr>
          <w:rFonts w:eastAsia="Times New Roman" w:cstheme="minorHAnsi"/>
          <w:bCs/>
          <w:iCs/>
        </w:rPr>
        <w:t xml:space="preserve">σύμφωνα με τις ειδικότερες προβλέψεις του </w:t>
      </w:r>
      <w:r w:rsidRPr="00D20891">
        <w:rPr>
          <w:rFonts w:eastAsia="Times New Roman" w:cstheme="minorHAnsi"/>
          <w:bCs/>
          <w:iCs/>
        </w:rPr>
        <w:t>Κανονισμού του Χρηματιστηρίου Ενέργειας, του Κανονισμού Εκκαθάρισης Συναλλαγών Αγοράς Επόμενης Ημέρας και Ενδοημερήσιας Αγοράς, του Κανονισμού Αγοράς Εξισορρόπησης,</w:t>
      </w:r>
      <w:r w:rsidR="003E18A7" w:rsidRPr="00D20891">
        <w:rPr>
          <w:rFonts w:eastAsia="Times New Roman" w:cstheme="minorHAnsi"/>
          <w:bCs/>
          <w:iCs/>
        </w:rPr>
        <w:t xml:space="preserve"> </w:t>
      </w:r>
      <w:r w:rsidRPr="00D20891">
        <w:rPr>
          <w:rFonts w:eastAsia="Times New Roman" w:cstheme="minorHAnsi"/>
          <w:bCs/>
          <w:iCs/>
        </w:rPr>
        <w:t>του Κανονισμού Εκκαθάρισης Θέσεων</w:t>
      </w:r>
      <w:r w:rsidR="003E18A7" w:rsidRPr="00D20891">
        <w:rPr>
          <w:rFonts w:eastAsia="Times New Roman" w:cstheme="minorHAnsi"/>
          <w:bCs/>
          <w:iCs/>
        </w:rPr>
        <w:t xml:space="preserve"> </w:t>
      </w:r>
      <w:r w:rsidRPr="00D20891">
        <w:rPr>
          <w:rFonts w:eastAsia="Times New Roman" w:cstheme="minorHAnsi"/>
          <w:bCs/>
          <w:iCs/>
        </w:rPr>
        <w:t>Αγοράς Εξισορρόπησης</w:t>
      </w:r>
      <w:r w:rsidRPr="000004E8">
        <w:rPr>
          <w:rFonts w:eastAsia="Times New Roman" w:cstheme="minorHAnsi"/>
          <w:bCs/>
          <w:iCs/>
        </w:rPr>
        <w:t xml:space="preserve"> και του Κώδικα </w:t>
      </w:r>
      <w:r w:rsidR="0039686A" w:rsidRPr="000004E8">
        <w:rPr>
          <w:rFonts w:eastAsia="Times New Roman" w:cstheme="minorHAnsi"/>
          <w:bCs/>
          <w:iCs/>
        </w:rPr>
        <w:t>Δ</w:t>
      </w:r>
      <w:r w:rsidR="00DE1895">
        <w:rPr>
          <w:rFonts w:eastAsia="Times New Roman" w:cstheme="minorHAnsi"/>
          <w:bCs/>
          <w:iCs/>
        </w:rPr>
        <w:t>.</w:t>
      </w:r>
      <w:r w:rsidR="0039686A" w:rsidRPr="000004E8">
        <w:rPr>
          <w:rFonts w:eastAsia="Times New Roman" w:cstheme="minorHAnsi"/>
          <w:bCs/>
          <w:iCs/>
        </w:rPr>
        <w:t>Α</w:t>
      </w:r>
      <w:r w:rsidR="00DE1895">
        <w:rPr>
          <w:rFonts w:eastAsia="Times New Roman" w:cstheme="minorHAnsi"/>
          <w:bCs/>
          <w:iCs/>
        </w:rPr>
        <w:t>.</w:t>
      </w:r>
      <w:r w:rsidR="0039686A" w:rsidRPr="000004E8">
        <w:rPr>
          <w:rFonts w:eastAsia="Times New Roman" w:cstheme="minorHAnsi"/>
          <w:bCs/>
          <w:iCs/>
        </w:rPr>
        <w:t>Π</w:t>
      </w:r>
      <w:r w:rsidR="00DE1895">
        <w:rPr>
          <w:rFonts w:eastAsia="Times New Roman" w:cstheme="minorHAnsi"/>
          <w:bCs/>
          <w:iCs/>
        </w:rPr>
        <w:t>.</w:t>
      </w:r>
      <w:r w:rsidR="0039686A" w:rsidRPr="000004E8">
        <w:rPr>
          <w:rFonts w:eastAsia="Times New Roman" w:cstheme="minorHAnsi"/>
          <w:bCs/>
          <w:iCs/>
        </w:rPr>
        <w:t>Ε</w:t>
      </w:r>
      <w:r w:rsidR="00DE1895">
        <w:rPr>
          <w:rFonts w:eastAsia="Times New Roman" w:cstheme="minorHAnsi"/>
          <w:bCs/>
          <w:iCs/>
        </w:rPr>
        <w:t>.</w:t>
      </w:r>
      <w:r w:rsidR="0039686A" w:rsidRPr="000004E8">
        <w:rPr>
          <w:rFonts w:eastAsia="Times New Roman" w:cstheme="minorHAnsi"/>
          <w:bCs/>
          <w:iCs/>
        </w:rPr>
        <w:t>Ε</w:t>
      </w:r>
      <w:r w:rsidR="00DE1895">
        <w:rPr>
          <w:rFonts w:eastAsia="Times New Roman" w:cstheme="minorHAnsi"/>
          <w:bCs/>
          <w:iCs/>
        </w:rPr>
        <w:t>.</w:t>
      </w:r>
      <w:r w:rsidR="0039686A" w:rsidRPr="000004E8">
        <w:rPr>
          <w:rFonts w:eastAsia="Times New Roman" w:cstheme="minorHAnsi"/>
          <w:bCs/>
          <w:iCs/>
        </w:rPr>
        <w:t>Π</w:t>
      </w:r>
      <w:r w:rsidRPr="000004E8">
        <w:rPr>
          <w:rFonts w:eastAsia="Times New Roman" w:cstheme="minorHAnsi"/>
          <w:bCs/>
          <w:iCs/>
        </w:rPr>
        <w:t>.»</w:t>
      </w:r>
      <w:r w:rsidR="002265D3" w:rsidRPr="000004E8">
        <w:rPr>
          <w:rFonts w:eastAsia="Times New Roman" w:cstheme="minorHAnsi"/>
          <w:bCs/>
          <w:iCs/>
        </w:rPr>
        <w:t>.</w:t>
      </w:r>
    </w:p>
    <w:p w14:paraId="78604D03" w14:textId="2A0999EF" w:rsidR="00B91A66" w:rsidRPr="000004E8" w:rsidRDefault="00FD7716" w:rsidP="004A1EAA">
      <w:pPr>
        <w:pStyle w:val="a3"/>
        <w:spacing w:after="200" w:line="300" w:lineRule="auto"/>
        <w:ind w:left="714"/>
        <w:jc w:val="both"/>
        <w:rPr>
          <w:rFonts w:eastAsia="Times New Roman" w:cstheme="minorHAnsi"/>
          <w:bCs/>
          <w:iCs/>
        </w:rPr>
      </w:pPr>
      <w:r w:rsidRPr="000004E8">
        <w:rPr>
          <w:rFonts w:eastAsia="Times New Roman" w:cstheme="minorHAnsi"/>
          <w:bCs/>
          <w:iCs/>
        </w:rPr>
        <w:t>γ</w:t>
      </w:r>
      <w:r w:rsidR="004A1EAA" w:rsidRPr="000004E8">
        <w:rPr>
          <w:rFonts w:eastAsia="Times New Roman" w:cstheme="minorHAnsi"/>
          <w:bCs/>
          <w:iCs/>
        </w:rPr>
        <w:t xml:space="preserve">) </w:t>
      </w:r>
      <w:r w:rsidR="00AC1508" w:rsidRPr="000004E8">
        <w:rPr>
          <w:rFonts w:eastAsia="Times New Roman" w:cstheme="minorHAnsi"/>
          <w:bCs/>
          <w:iCs/>
        </w:rPr>
        <w:t>Στην παρ</w:t>
      </w:r>
      <w:r w:rsidR="00C46582">
        <w:rPr>
          <w:rFonts w:eastAsia="Times New Roman" w:cstheme="minorHAnsi"/>
          <w:bCs/>
          <w:iCs/>
        </w:rPr>
        <w:t>.</w:t>
      </w:r>
      <w:r w:rsidR="00AC1508" w:rsidRPr="000004E8">
        <w:rPr>
          <w:rFonts w:eastAsia="Times New Roman" w:cstheme="minorHAnsi"/>
          <w:bCs/>
          <w:iCs/>
        </w:rPr>
        <w:t xml:space="preserve"> 2 του άρθρου 143</w:t>
      </w:r>
      <w:r w:rsidR="002265D3" w:rsidRPr="000004E8">
        <w:rPr>
          <w:rFonts w:eastAsia="Times New Roman" w:cstheme="minorHAnsi"/>
          <w:bCs/>
          <w:iCs/>
        </w:rPr>
        <w:t xml:space="preserve"> του ν. 4001/2011,</w:t>
      </w:r>
      <w:r w:rsidR="00AC1508" w:rsidRPr="000004E8">
        <w:rPr>
          <w:rFonts w:eastAsia="Times New Roman" w:cstheme="minorHAnsi"/>
          <w:bCs/>
          <w:iCs/>
        </w:rPr>
        <w:t xml:space="preserve"> η λέξη «Λ.Α.Γ.Η.Ε. Α.Ε.» αντικαθίσταται από τη λέξη «Δ.Α.Π.Ε.Ε.Π. Α.Ε.»</w:t>
      </w:r>
      <w:r w:rsidR="00C46582">
        <w:rPr>
          <w:rFonts w:eastAsia="Times New Roman" w:cstheme="minorHAnsi"/>
          <w:bCs/>
          <w:iCs/>
        </w:rPr>
        <w:t>.</w:t>
      </w:r>
      <w:r w:rsidR="00AC1508" w:rsidRPr="000004E8">
        <w:rPr>
          <w:rFonts w:eastAsia="Times New Roman" w:cstheme="minorHAnsi"/>
          <w:bCs/>
          <w:iCs/>
        </w:rPr>
        <w:t xml:space="preserve"> </w:t>
      </w:r>
    </w:p>
    <w:p w14:paraId="21775B10" w14:textId="1C9AEF65" w:rsidR="00B91A66" w:rsidRPr="000004E8" w:rsidRDefault="00FD7716" w:rsidP="004A1EAA">
      <w:pPr>
        <w:pStyle w:val="a3"/>
        <w:spacing w:after="200" w:line="300" w:lineRule="auto"/>
        <w:ind w:left="714"/>
        <w:jc w:val="both"/>
        <w:rPr>
          <w:rFonts w:eastAsia="Times New Roman" w:cstheme="minorHAnsi"/>
          <w:bCs/>
          <w:iCs/>
        </w:rPr>
      </w:pPr>
      <w:r w:rsidRPr="000004E8">
        <w:rPr>
          <w:rFonts w:eastAsia="Times New Roman" w:cstheme="minorHAnsi"/>
          <w:bCs/>
          <w:iCs/>
        </w:rPr>
        <w:t>δ</w:t>
      </w:r>
      <w:r w:rsidR="004A1EAA" w:rsidRPr="000004E8">
        <w:rPr>
          <w:rFonts w:eastAsia="Times New Roman" w:cstheme="minorHAnsi"/>
          <w:bCs/>
          <w:iCs/>
        </w:rPr>
        <w:t xml:space="preserve">) </w:t>
      </w:r>
      <w:r w:rsidR="00AC1508" w:rsidRPr="000004E8">
        <w:rPr>
          <w:rFonts w:eastAsia="Times New Roman" w:cstheme="minorHAnsi"/>
          <w:bCs/>
          <w:iCs/>
        </w:rPr>
        <w:t xml:space="preserve">Στην </w:t>
      </w:r>
      <w:r w:rsidR="002265D3" w:rsidRPr="000004E8">
        <w:rPr>
          <w:rFonts w:eastAsia="Times New Roman" w:cstheme="minorHAnsi"/>
          <w:bCs/>
          <w:iCs/>
        </w:rPr>
        <w:t>υπο</w:t>
      </w:r>
      <w:r w:rsidR="00AC1508" w:rsidRPr="000004E8">
        <w:rPr>
          <w:rFonts w:eastAsia="Times New Roman" w:cstheme="minorHAnsi"/>
          <w:bCs/>
          <w:iCs/>
        </w:rPr>
        <w:t>περ</w:t>
      </w:r>
      <w:r w:rsidR="002265D3" w:rsidRPr="000004E8">
        <w:rPr>
          <w:rFonts w:eastAsia="Times New Roman" w:cstheme="minorHAnsi"/>
          <w:bCs/>
          <w:iCs/>
        </w:rPr>
        <w:t>.</w:t>
      </w:r>
      <w:r w:rsidR="00AC1508" w:rsidRPr="000004E8">
        <w:rPr>
          <w:rFonts w:eastAsia="Times New Roman" w:cstheme="minorHAnsi"/>
          <w:bCs/>
          <w:iCs/>
        </w:rPr>
        <w:t xml:space="preserve"> (ββ) της </w:t>
      </w:r>
      <w:r w:rsidR="002265D3" w:rsidRPr="000004E8">
        <w:rPr>
          <w:rFonts w:eastAsia="Times New Roman" w:cstheme="minorHAnsi"/>
          <w:bCs/>
          <w:iCs/>
        </w:rPr>
        <w:t xml:space="preserve">περ. </w:t>
      </w:r>
      <w:r w:rsidR="00AC1508" w:rsidRPr="000004E8">
        <w:rPr>
          <w:rFonts w:eastAsia="Times New Roman" w:cstheme="minorHAnsi"/>
          <w:bCs/>
          <w:iCs/>
        </w:rPr>
        <w:t>(β) της παρ</w:t>
      </w:r>
      <w:r w:rsidR="002265D3" w:rsidRPr="000004E8">
        <w:rPr>
          <w:rFonts w:eastAsia="Times New Roman" w:cstheme="minorHAnsi"/>
          <w:bCs/>
          <w:iCs/>
        </w:rPr>
        <w:t>.</w:t>
      </w:r>
      <w:r w:rsidR="00AC1508" w:rsidRPr="000004E8">
        <w:rPr>
          <w:rFonts w:eastAsia="Times New Roman" w:cstheme="minorHAnsi"/>
          <w:bCs/>
          <w:iCs/>
        </w:rPr>
        <w:t xml:space="preserve"> 4 του άρθρου 143 </w:t>
      </w:r>
      <w:r w:rsidR="002265D3" w:rsidRPr="000004E8">
        <w:rPr>
          <w:rFonts w:eastAsia="Times New Roman" w:cstheme="minorHAnsi"/>
          <w:bCs/>
          <w:iCs/>
        </w:rPr>
        <w:t xml:space="preserve">του ν. 4001/2011 </w:t>
      </w:r>
      <w:r w:rsidR="00AC1508" w:rsidRPr="000004E8">
        <w:rPr>
          <w:rFonts w:eastAsia="Times New Roman" w:cstheme="minorHAnsi"/>
          <w:bCs/>
          <w:iCs/>
        </w:rPr>
        <w:t>η φράση «Λειτουρ</w:t>
      </w:r>
      <w:r w:rsidR="004A1EAA" w:rsidRPr="000004E8">
        <w:rPr>
          <w:rFonts w:eastAsia="Times New Roman" w:cstheme="minorHAnsi"/>
          <w:bCs/>
          <w:iCs/>
        </w:rPr>
        <w:t>γό της Αγοράς</w:t>
      </w:r>
      <w:r w:rsidR="00AC1508" w:rsidRPr="000004E8">
        <w:rPr>
          <w:rFonts w:eastAsia="Times New Roman" w:cstheme="minorHAnsi"/>
          <w:bCs/>
          <w:iCs/>
        </w:rPr>
        <w:t>» αντικαθίσταται από τη φράση «Διαχειριστή Α.Π.Ε. και Εγγυήσεων Προέλευσης».</w:t>
      </w:r>
    </w:p>
    <w:p w14:paraId="7AED28BC" w14:textId="7EDEBCCB" w:rsidR="00AC1508" w:rsidRPr="000004E8" w:rsidRDefault="00FD7716" w:rsidP="004A1EAA">
      <w:pPr>
        <w:pStyle w:val="a3"/>
        <w:spacing w:after="200" w:line="300" w:lineRule="auto"/>
        <w:ind w:left="714"/>
        <w:jc w:val="both"/>
        <w:rPr>
          <w:rFonts w:eastAsia="Times New Roman" w:cstheme="minorHAnsi"/>
          <w:bCs/>
          <w:iCs/>
        </w:rPr>
      </w:pPr>
      <w:r w:rsidRPr="000004E8">
        <w:rPr>
          <w:rFonts w:eastAsia="Times New Roman" w:cstheme="minorHAnsi"/>
          <w:bCs/>
          <w:iCs/>
        </w:rPr>
        <w:t>ε</w:t>
      </w:r>
      <w:r w:rsidR="004A1EAA" w:rsidRPr="000004E8">
        <w:rPr>
          <w:rFonts w:eastAsia="Times New Roman" w:cstheme="minorHAnsi"/>
          <w:bCs/>
          <w:iCs/>
        </w:rPr>
        <w:t xml:space="preserve">) </w:t>
      </w:r>
      <w:r w:rsidR="00AC1508" w:rsidRPr="000004E8">
        <w:rPr>
          <w:rFonts w:eastAsia="Times New Roman" w:cstheme="minorHAnsi"/>
          <w:bCs/>
          <w:iCs/>
        </w:rPr>
        <w:t>Στην παρ</w:t>
      </w:r>
      <w:r w:rsidR="002265D3" w:rsidRPr="000004E8">
        <w:rPr>
          <w:rFonts w:eastAsia="Times New Roman" w:cstheme="minorHAnsi"/>
          <w:bCs/>
          <w:iCs/>
        </w:rPr>
        <w:t>.</w:t>
      </w:r>
      <w:r w:rsidR="00AC1508" w:rsidRPr="000004E8">
        <w:rPr>
          <w:rFonts w:eastAsia="Times New Roman" w:cstheme="minorHAnsi"/>
          <w:bCs/>
          <w:iCs/>
        </w:rPr>
        <w:t xml:space="preserve"> 5 του άρθρου 143 </w:t>
      </w:r>
      <w:r w:rsidR="002265D3" w:rsidRPr="000004E8">
        <w:rPr>
          <w:rFonts w:eastAsia="Times New Roman" w:cstheme="minorHAnsi"/>
          <w:bCs/>
          <w:iCs/>
        </w:rPr>
        <w:t xml:space="preserve">του ν. 4001/2011 </w:t>
      </w:r>
      <w:r w:rsidR="00AC1508" w:rsidRPr="000004E8">
        <w:rPr>
          <w:rFonts w:eastAsia="Times New Roman" w:cstheme="minorHAnsi"/>
          <w:bCs/>
          <w:iCs/>
        </w:rPr>
        <w:t>η φράση «Λειτουργό της Αγοράς» αντικαθίσταται από τη φράση «Διαχειριστή Α.Π.Ε. και Εγγυήσεων Προέλευσης».</w:t>
      </w:r>
    </w:p>
    <w:p w14:paraId="4A6A8157" w14:textId="0053AA50" w:rsidR="00105661" w:rsidRPr="000004E8" w:rsidRDefault="00105661" w:rsidP="00F357BF">
      <w:pPr>
        <w:spacing w:after="0" w:line="300" w:lineRule="auto"/>
        <w:rPr>
          <w:rFonts w:cstheme="minorHAnsi"/>
          <w:b/>
        </w:rPr>
      </w:pPr>
    </w:p>
    <w:p w14:paraId="6354C712" w14:textId="3EFE9EEF" w:rsidR="00105661" w:rsidRPr="000004E8" w:rsidRDefault="00105661" w:rsidP="00F357BF">
      <w:pPr>
        <w:spacing w:after="0" w:line="300" w:lineRule="auto"/>
        <w:rPr>
          <w:rFonts w:cstheme="minorHAnsi"/>
          <w:b/>
        </w:rPr>
      </w:pPr>
    </w:p>
    <w:p w14:paraId="492400B4" w14:textId="77777777" w:rsidR="00105661" w:rsidRPr="000004E8" w:rsidRDefault="00105661" w:rsidP="00F357BF">
      <w:pPr>
        <w:spacing w:after="0" w:line="300" w:lineRule="auto"/>
        <w:rPr>
          <w:rFonts w:cstheme="minorHAnsi"/>
          <w:b/>
        </w:rPr>
      </w:pPr>
    </w:p>
    <w:p w14:paraId="07A44C53" w14:textId="0A9BB908" w:rsidR="00AF70E5" w:rsidRPr="000004E8" w:rsidRDefault="00AF70E5" w:rsidP="00F357BF">
      <w:pPr>
        <w:spacing w:after="120" w:line="300" w:lineRule="auto"/>
        <w:jc w:val="center"/>
        <w:rPr>
          <w:rFonts w:cstheme="minorHAnsi"/>
          <w:b/>
        </w:rPr>
      </w:pPr>
      <w:r w:rsidRPr="000004E8">
        <w:rPr>
          <w:rFonts w:cstheme="minorHAnsi"/>
          <w:b/>
        </w:rPr>
        <w:t xml:space="preserve">Άρθρο </w:t>
      </w:r>
      <w:r w:rsidR="009B65A0" w:rsidRPr="000004E8">
        <w:rPr>
          <w:rFonts w:cstheme="minorHAnsi"/>
          <w:b/>
        </w:rPr>
        <w:t>4</w:t>
      </w:r>
    </w:p>
    <w:p w14:paraId="7EBA2428" w14:textId="7317329B" w:rsidR="001C5845" w:rsidRPr="000004E8" w:rsidRDefault="00AF70E5" w:rsidP="001C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18"/>
          <w:szCs w:val="18"/>
          <w:lang w:eastAsia="en-GB"/>
        </w:rPr>
      </w:pPr>
      <w:r w:rsidRPr="000004E8">
        <w:rPr>
          <w:rFonts w:cstheme="minorHAnsi"/>
          <w:b/>
        </w:rPr>
        <w:t>Επιβολή πράσινου τέλους στο πετρέλαιο εσωτερικής καύσης (</w:t>
      </w:r>
      <w:r w:rsidR="0039686A" w:rsidRPr="000004E8">
        <w:rPr>
          <w:rFonts w:cstheme="minorHAnsi"/>
          <w:b/>
        </w:rPr>
        <w:t>«</w:t>
      </w:r>
      <w:r w:rsidRPr="000004E8">
        <w:rPr>
          <w:rFonts w:cstheme="minorHAnsi"/>
          <w:b/>
        </w:rPr>
        <w:t>diesel</w:t>
      </w:r>
      <w:r w:rsidR="0039686A" w:rsidRPr="000004E8">
        <w:rPr>
          <w:rFonts w:cstheme="minorHAnsi"/>
          <w:b/>
        </w:rPr>
        <w:t>»</w:t>
      </w:r>
      <w:r w:rsidRPr="000004E8">
        <w:rPr>
          <w:rFonts w:cstheme="minorHAnsi"/>
          <w:b/>
        </w:rPr>
        <w:t xml:space="preserve">) της παρ. 1 του </w:t>
      </w:r>
      <w:r w:rsidR="001C5845" w:rsidRPr="000004E8">
        <w:rPr>
          <w:rFonts w:cstheme="minorHAnsi"/>
          <w:b/>
        </w:rPr>
        <w:t xml:space="preserve">άρθρου </w:t>
      </w:r>
      <w:r w:rsidRPr="000004E8">
        <w:rPr>
          <w:rFonts w:cstheme="minorHAnsi"/>
          <w:b/>
        </w:rPr>
        <w:t xml:space="preserve">73 </w:t>
      </w:r>
      <w:r w:rsidR="001C5845" w:rsidRPr="000004E8">
        <w:rPr>
          <w:rFonts w:cstheme="minorHAnsi"/>
          <w:b/>
        </w:rPr>
        <w:t xml:space="preserve">του </w:t>
      </w:r>
      <w:r w:rsidRPr="000004E8">
        <w:rPr>
          <w:rFonts w:cstheme="minorHAnsi"/>
          <w:b/>
        </w:rPr>
        <w:t>ν. 2960/2001</w:t>
      </w:r>
    </w:p>
    <w:p w14:paraId="2D2FE533" w14:textId="4D632E6E" w:rsidR="00AF70E5" w:rsidRPr="000004E8" w:rsidRDefault="00AF70E5" w:rsidP="00F357BF">
      <w:pPr>
        <w:pStyle w:val="a3"/>
        <w:spacing w:after="60" w:line="300" w:lineRule="auto"/>
        <w:ind w:left="0"/>
        <w:contextualSpacing w:val="0"/>
        <w:jc w:val="both"/>
        <w:rPr>
          <w:color w:val="000000"/>
        </w:rPr>
      </w:pPr>
      <w:r w:rsidRPr="000004E8">
        <w:rPr>
          <w:color w:val="000000"/>
        </w:rPr>
        <w:t xml:space="preserve">1. Επί του πετρελαίου εσωτερικής καύσης (diesel) της παρ. 1 του </w:t>
      </w:r>
      <w:r w:rsidR="00C46582">
        <w:rPr>
          <w:color w:val="000000"/>
        </w:rPr>
        <w:t>άρθρου</w:t>
      </w:r>
      <w:r w:rsidRPr="000004E8">
        <w:rPr>
          <w:color w:val="000000"/>
        </w:rPr>
        <w:t xml:space="preserve"> 73 του ν. 2960/2001</w:t>
      </w:r>
      <w:r w:rsidR="0039686A" w:rsidRPr="000004E8">
        <w:rPr>
          <w:color w:val="000000"/>
        </w:rPr>
        <w:t xml:space="preserve"> (Α’ 265)</w:t>
      </w:r>
      <w:r w:rsidRPr="000004E8">
        <w:rPr>
          <w:color w:val="000000"/>
        </w:rPr>
        <w:t>, εξαιρουμένου αυτού που χρησιμοποιείται ως καύσιμο θέρμανσης, επιβάλλεται πράσινο τέλος ύψους τριάντα ευρώ (30) ευρώ ανά χιλιόλιτρο. Το πράσινο τέλος βεβαιώνεται και εισπράττεται κατά την ίδια χρονική στιγμή με τον ειδικό φόρο κατανάλωσης</w:t>
      </w:r>
      <w:r w:rsidR="003E18A7" w:rsidRPr="000004E8">
        <w:rPr>
          <w:color w:val="000000"/>
        </w:rPr>
        <w:t xml:space="preserve"> </w:t>
      </w:r>
      <w:r w:rsidRPr="000004E8">
        <w:rPr>
          <w:color w:val="000000"/>
        </w:rPr>
        <w:t>του προϊόντος αυτού.</w:t>
      </w:r>
    </w:p>
    <w:p w14:paraId="217894D8" w14:textId="70F90C2C" w:rsidR="0019198B" w:rsidRPr="000004E8" w:rsidRDefault="0019198B" w:rsidP="00F357BF">
      <w:pPr>
        <w:spacing w:after="60" w:line="300" w:lineRule="auto"/>
        <w:jc w:val="both"/>
        <w:rPr>
          <w:color w:val="000000"/>
        </w:rPr>
      </w:pPr>
      <w:r w:rsidRPr="000004E8">
        <w:rPr>
          <w:color w:val="000000"/>
        </w:rPr>
        <w:t xml:space="preserve">2. </w:t>
      </w:r>
      <w:r w:rsidR="00D85230" w:rsidRPr="000004E8">
        <w:rPr>
          <w:color w:val="000000"/>
        </w:rPr>
        <w:t>Το</w:t>
      </w:r>
      <w:r w:rsidR="00B33B35" w:rsidRPr="000004E8">
        <w:rPr>
          <w:color w:val="000000"/>
        </w:rPr>
        <w:t xml:space="preserve"> άρθρο </w:t>
      </w:r>
      <w:r w:rsidRPr="000004E8">
        <w:rPr>
          <w:color w:val="000000"/>
        </w:rPr>
        <w:t>56 του ν.</w:t>
      </w:r>
      <w:r w:rsidR="001C5845" w:rsidRPr="000004E8">
        <w:rPr>
          <w:color w:val="000000"/>
        </w:rPr>
        <w:t xml:space="preserve"> </w:t>
      </w:r>
      <w:r w:rsidRPr="000004E8">
        <w:rPr>
          <w:color w:val="000000"/>
        </w:rPr>
        <w:t>2960/</w:t>
      </w:r>
      <w:r w:rsidR="00563C32" w:rsidRPr="000004E8">
        <w:rPr>
          <w:color w:val="000000"/>
        </w:rPr>
        <w:t>20</w:t>
      </w:r>
      <w:r w:rsidRPr="000004E8">
        <w:rPr>
          <w:color w:val="000000"/>
        </w:rPr>
        <w:t xml:space="preserve">01 </w:t>
      </w:r>
      <w:r w:rsidR="0039686A" w:rsidRPr="000004E8">
        <w:rPr>
          <w:color w:val="000000"/>
        </w:rPr>
        <w:t>για</w:t>
      </w:r>
      <w:r w:rsidRPr="000004E8">
        <w:rPr>
          <w:color w:val="000000"/>
        </w:rPr>
        <w:t xml:space="preserve"> το απαιτητό του ειδικού φόρου κατανάλωσης κατά το</w:t>
      </w:r>
      <w:r w:rsidR="00C46582">
        <w:rPr>
          <w:color w:val="000000"/>
        </w:rPr>
        <w:t>ν</w:t>
      </w:r>
      <w:r w:rsidRPr="000004E8">
        <w:rPr>
          <w:color w:val="000000"/>
        </w:rPr>
        <w:t xml:space="preserve"> χρόνο </w:t>
      </w:r>
      <w:r w:rsidR="00B33B35" w:rsidRPr="000004E8">
        <w:rPr>
          <w:color w:val="000000"/>
        </w:rPr>
        <w:t xml:space="preserve">που το προϊόν τίθεται σε ανάλωση </w:t>
      </w:r>
      <w:r w:rsidRPr="000004E8">
        <w:rPr>
          <w:color w:val="000000"/>
        </w:rPr>
        <w:t xml:space="preserve">και το άρθρο 109 του ιδίου νόμου, αναφορικά με τη βεβαίωση και είσπραξη του ειδικού φόρου κατανάλωσης, εφαρμόζονται </w:t>
      </w:r>
      <w:r w:rsidR="008A742D" w:rsidRPr="000004E8">
        <w:rPr>
          <w:color w:val="000000"/>
        </w:rPr>
        <w:t xml:space="preserve">ανάλογα </w:t>
      </w:r>
      <w:r w:rsidRPr="000004E8">
        <w:rPr>
          <w:color w:val="000000"/>
        </w:rPr>
        <w:t xml:space="preserve">για το πράσινο τέλος. </w:t>
      </w:r>
    </w:p>
    <w:p w14:paraId="29F2E89A" w14:textId="36F10ACC" w:rsidR="0019198B" w:rsidRPr="000004E8" w:rsidRDefault="0019198B" w:rsidP="00F357BF">
      <w:pPr>
        <w:spacing w:after="60" w:line="300" w:lineRule="auto"/>
        <w:jc w:val="both"/>
        <w:rPr>
          <w:color w:val="000000"/>
        </w:rPr>
      </w:pPr>
      <w:r w:rsidRPr="000004E8">
        <w:rPr>
          <w:color w:val="000000"/>
        </w:rPr>
        <w:lastRenderedPageBreak/>
        <w:t>3. Η απαλλαγή από τον ειδικό φόρο κατανάλωσης</w:t>
      </w:r>
      <w:r w:rsidR="003E18A7" w:rsidRPr="000004E8">
        <w:rPr>
          <w:color w:val="000000"/>
        </w:rPr>
        <w:t xml:space="preserve"> </w:t>
      </w:r>
      <w:r w:rsidRPr="000004E8">
        <w:rPr>
          <w:color w:val="000000"/>
        </w:rPr>
        <w:t>του πετρελαίου εσωτερικής καύσης (</w:t>
      </w:r>
      <w:r w:rsidR="0039686A" w:rsidRPr="000004E8">
        <w:rPr>
          <w:color w:val="000000"/>
        </w:rPr>
        <w:t>«</w:t>
      </w:r>
      <w:r w:rsidRPr="000004E8">
        <w:rPr>
          <w:color w:val="000000"/>
        </w:rPr>
        <w:t>diesel</w:t>
      </w:r>
      <w:r w:rsidR="0039686A" w:rsidRPr="000004E8">
        <w:rPr>
          <w:color w:val="000000"/>
        </w:rPr>
        <w:t>»</w:t>
      </w:r>
      <w:r w:rsidRPr="000004E8">
        <w:rPr>
          <w:color w:val="000000"/>
        </w:rPr>
        <w:t xml:space="preserve">) </w:t>
      </w:r>
      <w:r w:rsidR="00BE44AA" w:rsidRPr="000004E8">
        <w:rPr>
          <w:color w:val="000000"/>
        </w:rPr>
        <w:t xml:space="preserve">της </w:t>
      </w:r>
      <w:r w:rsidRPr="000004E8">
        <w:rPr>
          <w:color w:val="000000"/>
        </w:rPr>
        <w:t>παρ. 1</w:t>
      </w:r>
      <w:r w:rsidR="008A742D" w:rsidRPr="000004E8">
        <w:rPr>
          <w:color w:val="000000"/>
        </w:rPr>
        <w:t>, σύμφωνα με την περ.</w:t>
      </w:r>
      <w:r w:rsidR="00B509BC" w:rsidRPr="000004E8">
        <w:rPr>
          <w:color w:val="000000"/>
        </w:rPr>
        <w:t xml:space="preserve"> β΄ </w:t>
      </w:r>
      <w:r w:rsidR="008A742D" w:rsidRPr="000004E8">
        <w:rPr>
          <w:color w:val="000000"/>
        </w:rPr>
        <w:t xml:space="preserve">της παρ. 1 του άρθρου 78 </w:t>
      </w:r>
      <w:r w:rsidRPr="000004E8">
        <w:rPr>
          <w:color w:val="000000"/>
        </w:rPr>
        <w:t xml:space="preserve">του </w:t>
      </w:r>
      <w:r w:rsidR="00DF5A88" w:rsidRPr="000004E8">
        <w:rPr>
          <w:color w:val="000000"/>
        </w:rPr>
        <w:t>ν. 2960/2001</w:t>
      </w:r>
      <w:r w:rsidRPr="000004E8">
        <w:rPr>
          <w:color w:val="000000"/>
        </w:rPr>
        <w:t xml:space="preserve">, εφαρμόζεται αναλογικά και για το πράσινο τέλος. Με απόφαση του Διοικητή της Ανεξάρτητης Αρχής Δημοσίων </w:t>
      </w:r>
      <w:r w:rsidR="0039686A" w:rsidRPr="000004E8">
        <w:rPr>
          <w:color w:val="000000"/>
        </w:rPr>
        <w:t>Ε</w:t>
      </w:r>
      <w:r w:rsidRPr="000004E8">
        <w:rPr>
          <w:color w:val="000000"/>
        </w:rPr>
        <w:t>σόδων (Α</w:t>
      </w:r>
      <w:r w:rsidR="0039686A" w:rsidRPr="000004E8">
        <w:rPr>
          <w:color w:val="000000"/>
        </w:rPr>
        <w:t>.</w:t>
      </w:r>
      <w:r w:rsidRPr="000004E8">
        <w:rPr>
          <w:color w:val="000000"/>
        </w:rPr>
        <w:t>Α</w:t>
      </w:r>
      <w:r w:rsidR="0039686A" w:rsidRPr="000004E8">
        <w:rPr>
          <w:color w:val="000000"/>
        </w:rPr>
        <w:t>.</w:t>
      </w:r>
      <w:r w:rsidRPr="000004E8">
        <w:rPr>
          <w:color w:val="000000"/>
        </w:rPr>
        <w:t>Δ</w:t>
      </w:r>
      <w:r w:rsidR="0039686A" w:rsidRPr="000004E8">
        <w:rPr>
          <w:color w:val="000000"/>
        </w:rPr>
        <w:t>.</w:t>
      </w:r>
      <w:r w:rsidRPr="000004E8">
        <w:rPr>
          <w:color w:val="000000"/>
        </w:rPr>
        <w:t>Ε</w:t>
      </w:r>
      <w:r w:rsidR="0039686A" w:rsidRPr="000004E8">
        <w:rPr>
          <w:color w:val="000000"/>
        </w:rPr>
        <w:t>.</w:t>
      </w:r>
      <w:r w:rsidRPr="000004E8">
        <w:rPr>
          <w:color w:val="000000"/>
        </w:rPr>
        <w:t xml:space="preserve">)  καθορίζεται κάθε ειδικό θέμα για την εφαρμογή της παρούσας. </w:t>
      </w:r>
    </w:p>
    <w:p w14:paraId="66D23662" w14:textId="79456E68" w:rsidR="00AF70E5" w:rsidRPr="000004E8" w:rsidRDefault="00A32C1F" w:rsidP="00F357BF">
      <w:pPr>
        <w:spacing w:after="60" w:line="300" w:lineRule="auto"/>
        <w:jc w:val="both"/>
        <w:rPr>
          <w:color w:val="000000"/>
        </w:rPr>
      </w:pPr>
      <w:r w:rsidRPr="000004E8">
        <w:rPr>
          <w:color w:val="000000"/>
        </w:rPr>
        <w:t>4</w:t>
      </w:r>
      <w:r w:rsidR="00AF70E5" w:rsidRPr="000004E8">
        <w:rPr>
          <w:color w:val="000000"/>
        </w:rPr>
        <w:t>. Τα έσοδα από το πράσινο τέλος αποτελούν δημόσιο έσοδο, το οποίο εισπράττεται από την Α</w:t>
      </w:r>
      <w:r w:rsidR="0039686A" w:rsidRPr="000004E8">
        <w:rPr>
          <w:color w:val="000000"/>
        </w:rPr>
        <w:t>.</w:t>
      </w:r>
      <w:r w:rsidR="00AF70E5" w:rsidRPr="000004E8">
        <w:rPr>
          <w:color w:val="000000"/>
        </w:rPr>
        <w:t>Α</w:t>
      </w:r>
      <w:r w:rsidR="0039686A" w:rsidRPr="000004E8">
        <w:rPr>
          <w:color w:val="000000"/>
        </w:rPr>
        <w:t>.</w:t>
      </w:r>
      <w:r w:rsidR="00AF70E5" w:rsidRPr="000004E8">
        <w:rPr>
          <w:color w:val="000000"/>
        </w:rPr>
        <w:t>Δ</w:t>
      </w:r>
      <w:r w:rsidR="0039686A" w:rsidRPr="000004E8">
        <w:rPr>
          <w:color w:val="000000"/>
        </w:rPr>
        <w:t>.</w:t>
      </w:r>
      <w:r w:rsidR="00AF70E5" w:rsidRPr="000004E8">
        <w:rPr>
          <w:color w:val="000000"/>
        </w:rPr>
        <w:t>Ε</w:t>
      </w:r>
      <w:r w:rsidR="0039686A" w:rsidRPr="000004E8">
        <w:rPr>
          <w:color w:val="000000"/>
        </w:rPr>
        <w:t>.</w:t>
      </w:r>
      <w:r w:rsidR="00AF70E5" w:rsidRPr="000004E8">
        <w:rPr>
          <w:color w:val="000000"/>
        </w:rPr>
        <w:t xml:space="preserve">, σύμφωνα με τις ανωτέρω αναφερόμενες διατάξεις και στη συνέχεια πιστώνεται υπέρ του Λογαριασμού Ειδικού Σκοπού που συστήνεται στην Τράπεζα της Ελλάδας για τη χρηματοδότηση πράσινων έργων και δράσεων που συμβάλλουν στη μείωση των εκπομπών ρύπων, όπως αυτές εξειδικεύονται στην παρ. </w:t>
      </w:r>
      <w:r w:rsidR="001F4E4B" w:rsidRPr="000004E8">
        <w:rPr>
          <w:color w:val="000000"/>
        </w:rPr>
        <w:t>5</w:t>
      </w:r>
      <w:r w:rsidR="00AF70E5" w:rsidRPr="000004E8">
        <w:rPr>
          <w:color w:val="000000"/>
        </w:rPr>
        <w:t>. Με</w:t>
      </w:r>
      <w:r w:rsidR="00393710">
        <w:rPr>
          <w:color w:val="000000"/>
        </w:rPr>
        <w:t xml:space="preserve"> κοινή</w:t>
      </w:r>
      <w:r w:rsidR="00AF70E5" w:rsidRPr="000004E8">
        <w:rPr>
          <w:color w:val="000000"/>
        </w:rPr>
        <w:t xml:space="preserve"> απόφαση των Υπουργών Οικονομικών και Περιβάλλοντος και Ενέργειας ρυθμίζ</w:t>
      </w:r>
      <w:r w:rsidR="00393710">
        <w:rPr>
          <w:color w:val="000000"/>
        </w:rPr>
        <w:t>ον</w:t>
      </w:r>
      <w:r w:rsidR="00AF70E5" w:rsidRPr="000004E8">
        <w:rPr>
          <w:color w:val="000000"/>
        </w:rPr>
        <w:t>ται ο σκοπός, η κίνηση του λογαριασμού, η εγγραφή των πιστώσεων και κάθε άλλο ειδικό θέμα.</w:t>
      </w:r>
    </w:p>
    <w:p w14:paraId="297D30A9" w14:textId="3E10A209" w:rsidR="00AF70E5" w:rsidRPr="000004E8" w:rsidRDefault="00A32C1F" w:rsidP="00F357BF">
      <w:pPr>
        <w:spacing w:after="60" w:line="300" w:lineRule="auto"/>
        <w:jc w:val="both"/>
        <w:rPr>
          <w:color w:val="000000"/>
        </w:rPr>
      </w:pPr>
      <w:r w:rsidRPr="000004E8">
        <w:rPr>
          <w:color w:val="000000"/>
        </w:rPr>
        <w:t>5</w:t>
      </w:r>
      <w:r w:rsidR="00AF70E5" w:rsidRPr="000004E8">
        <w:rPr>
          <w:color w:val="000000"/>
        </w:rPr>
        <w:t xml:space="preserve">. Τα έσοδα από την είσπραξη του πράσινου τέλους διατίθενται για την υλοποίηση δράσεων ειδικού σκοπού στο πλαίσιο των ενεργειακών και κλιματικών </w:t>
      </w:r>
      <w:r w:rsidR="0017649F" w:rsidRPr="000004E8">
        <w:rPr>
          <w:color w:val="000000"/>
        </w:rPr>
        <w:t>σ</w:t>
      </w:r>
      <w:r w:rsidR="00AF70E5" w:rsidRPr="000004E8">
        <w:rPr>
          <w:color w:val="000000"/>
        </w:rPr>
        <w:t>τόχων έως το έτος 2030, όπως αυτοί προσδιορίζονται στο Εθνικό Σχέδιο για την Ενέργεια και το Κλίμα (Β’ 4893/31.12.</w:t>
      </w:r>
      <w:r w:rsidR="006C29A5" w:rsidRPr="000004E8">
        <w:rPr>
          <w:color w:val="000000"/>
        </w:rPr>
        <w:t>2019</w:t>
      </w:r>
      <w:r w:rsidR="00AF70E5" w:rsidRPr="000004E8">
        <w:rPr>
          <w:color w:val="000000"/>
        </w:rPr>
        <w:t xml:space="preserve">) και ειδικότερα για την ενίσχυση των έργων </w:t>
      </w:r>
      <w:r w:rsidR="00107172" w:rsidRPr="000004E8">
        <w:rPr>
          <w:color w:val="000000"/>
        </w:rPr>
        <w:t>Ανανεώσιμων Πηγών Ενέργειας (</w:t>
      </w:r>
      <w:r w:rsidR="00AF70E5" w:rsidRPr="000004E8">
        <w:rPr>
          <w:color w:val="000000"/>
        </w:rPr>
        <w:t>Α</w:t>
      </w:r>
      <w:r w:rsidR="008C2355" w:rsidRPr="000004E8">
        <w:rPr>
          <w:color w:val="000000"/>
        </w:rPr>
        <w:t>.</w:t>
      </w:r>
      <w:r w:rsidR="00AF70E5" w:rsidRPr="000004E8">
        <w:rPr>
          <w:color w:val="000000"/>
        </w:rPr>
        <w:t>Π</w:t>
      </w:r>
      <w:r w:rsidR="008C2355" w:rsidRPr="000004E8">
        <w:rPr>
          <w:color w:val="000000"/>
        </w:rPr>
        <w:t>.</w:t>
      </w:r>
      <w:r w:rsidR="00AF70E5" w:rsidRPr="000004E8">
        <w:rPr>
          <w:color w:val="000000"/>
        </w:rPr>
        <w:t>Ε</w:t>
      </w:r>
      <w:r w:rsidR="008C2355" w:rsidRPr="000004E8">
        <w:rPr>
          <w:color w:val="000000"/>
        </w:rPr>
        <w:t>.</w:t>
      </w:r>
      <w:r w:rsidR="00107172" w:rsidRPr="000004E8">
        <w:rPr>
          <w:color w:val="000000"/>
        </w:rPr>
        <w:t>)</w:t>
      </w:r>
      <w:r w:rsidR="00AF70E5" w:rsidRPr="000004E8">
        <w:rPr>
          <w:color w:val="000000"/>
        </w:rPr>
        <w:t>, την αύξηση του ποσοστού διείσδυσης των Α</w:t>
      </w:r>
      <w:r w:rsidR="008C2355" w:rsidRPr="000004E8">
        <w:rPr>
          <w:color w:val="000000"/>
        </w:rPr>
        <w:t>.</w:t>
      </w:r>
      <w:r w:rsidR="00AF70E5" w:rsidRPr="000004E8">
        <w:rPr>
          <w:color w:val="000000"/>
        </w:rPr>
        <w:t>Π</w:t>
      </w:r>
      <w:r w:rsidR="008C2355" w:rsidRPr="000004E8">
        <w:rPr>
          <w:color w:val="000000"/>
        </w:rPr>
        <w:t>.</w:t>
      </w:r>
      <w:r w:rsidR="00AF70E5" w:rsidRPr="000004E8">
        <w:rPr>
          <w:color w:val="000000"/>
        </w:rPr>
        <w:t>Ε</w:t>
      </w:r>
      <w:r w:rsidR="008C2355" w:rsidRPr="000004E8">
        <w:rPr>
          <w:color w:val="000000"/>
        </w:rPr>
        <w:t>.</w:t>
      </w:r>
      <w:r w:rsidR="00AF70E5" w:rsidRPr="000004E8">
        <w:rPr>
          <w:color w:val="000000"/>
        </w:rPr>
        <w:t xml:space="preserve"> στην ακαθάριστη τελική κατανάλωση ενέργειας, τη βελτίωση της ενεργειακής απόδοσης και εξοικονόμησης, την προώθηση της ηλεκτροκίνησης, καθώς και για την κάλυψη κοινωφελών σκοπών, δαπανών, μελετών και ερευνών στον τομέα της ενέργειας. </w:t>
      </w:r>
    </w:p>
    <w:p w14:paraId="6D5AD225" w14:textId="3D3B6201" w:rsidR="00AF70E5" w:rsidRPr="000004E8" w:rsidRDefault="00A32C1F" w:rsidP="00F357BF">
      <w:pPr>
        <w:spacing w:after="60" w:line="300" w:lineRule="auto"/>
        <w:jc w:val="both"/>
        <w:rPr>
          <w:color w:val="000000"/>
        </w:rPr>
      </w:pPr>
      <w:r w:rsidRPr="000004E8">
        <w:rPr>
          <w:color w:val="000000"/>
        </w:rPr>
        <w:t>7</w:t>
      </w:r>
      <w:r w:rsidR="00AF70E5" w:rsidRPr="000004E8">
        <w:rPr>
          <w:color w:val="000000"/>
        </w:rPr>
        <w:t>. Ως έναρξη ισχύος του άρθρου ορίζεται η 1</w:t>
      </w:r>
      <w:r w:rsidR="00393710">
        <w:rPr>
          <w:color w:val="000000"/>
        </w:rPr>
        <w:t>η</w:t>
      </w:r>
      <w:r w:rsidR="00AF70E5" w:rsidRPr="000004E8">
        <w:rPr>
          <w:color w:val="000000"/>
        </w:rPr>
        <w:t>.1.2021.</w:t>
      </w:r>
    </w:p>
    <w:p w14:paraId="503CD1BF" w14:textId="77777777" w:rsidR="00EA292B" w:rsidRPr="000004E8" w:rsidRDefault="00EA292B" w:rsidP="00F357BF">
      <w:pPr>
        <w:spacing w:after="0" w:line="300" w:lineRule="auto"/>
        <w:jc w:val="center"/>
        <w:rPr>
          <w:rFonts w:cstheme="minorHAnsi"/>
          <w:b/>
        </w:rPr>
      </w:pPr>
    </w:p>
    <w:p w14:paraId="176F4C35" w14:textId="77777777" w:rsidR="00E95755" w:rsidRPr="000004E8" w:rsidRDefault="00E95755" w:rsidP="00E95755">
      <w:pPr>
        <w:spacing w:after="120" w:line="300" w:lineRule="auto"/>
        <w:jc w:val="center"/>
        <w:rPr>
          <w:rFonts w:ascii="Calibri" w:eastAsia="Times New Roman" w:hAnsi="Calibri" w:cs="Calibri"/>
        </w:rPr>
      </w:pPr>
      <w:r w:rsidRPr="000004E8">
        <w:rPr>
          <w:rFonts w:ascii="Calibri" w:eastAsia="Times New Roman" w:hAnsi="Calibri" w:cs="Calibri"/>
          <w:b/>
          <w:bCs/>
        </w:rPr>
        <w:t>Άρθρο 5</w:t>
      </w:r>
    </w:p>
    <w:p w14:paraId="23CB46F3" w14:textId="77777777" w:rsidR="00E95755" w:rsidRPr="000004E8" w:rsidRDefault="00E95755" w:rsidP="00E95755">
      <w:pPr>
        <w:spacing w:after="120" w:line="300" w:lineRule="auto"/>
        <w:jc w:val="center"/>
        <w:rPr>
          <w:rFonts w:ascii="Calibri" w:eastAsia="Times New Roman" w:hAnsi="Calibri" w:cs="Calibri"/>
        </w:rPr>
      </w:pPr>
      <w:r w:rsidRPr="000004E8">
        <w:rPr>
          <w:rFonts w:ascii="Calibri" w:eastAsia="Times New Roman" w:hAnsi="Calibri" w:cs="Calibri"/>
          <w:b/>
          <w:bCs/>
        </w:rPr>
        <w:t>Αναστολή της υπογραφής Συμβάσεων Λειτουργικής Ενίσχυσης</w:t>
      </w:r>
    </w:p>
    <w:p w14:paraId="486DACDF" w14:textId="6608F9DD" w:rsidR="00E95755" w:rsidRPr="000004E8" w:rsidRDefault="00E95755" w:rsidP="00E95755">
      <w:pPr>
        <w:spacing w:after="60" w:line="300" w:lineRule="auto"/>
        <w:jc w:val="both"/>
        <w:rPr>
          <w:rFonts w:ascii="Calibri" w:eastAsia="Times New Roman" w:hAnsi="Calibri" w:cs="Calibri"/>
        </w:rPr>
      </w:pPr>
      <w:r w:rsidRPr="000004E8">
        <w:rPr>
          <w:rFonts w:ascii="Calibri" w:eastAsia="Times New Roman" w:hAnsi="Calibri" w:cs="Calibri"/>
        </w:rPr>
        <w:t>1. Από την 1</w:t>
      </w:r>
      <w:r w:rsidRPr="000004E8">
        <w:rPr>
          <w:rFonts w:ascii="Calibri" w:eastAsia="Times New Roman" w:hAnsi="Calibri" w:cs="Calibri"/>
          <w:vertAlign w:val="superscript"/>
        </w:rPr>
        <w:t>η</w:t>
      </w:r>
      <w:r w:rsidRPr="000004E8">
        <w:rPr>
          <w:rFonts w:ascii="Calibri" w:eastAsia="Times New Roman" w:hAnsi="Calibri" w:cs="Calibri"/>
        </w:rPr>
        <w:t xml:space="preserve"> Ιανουαρίου 2021 και μέχρι την έκδοση της απόφασης της παρ. 2 του άρθρου 7 του ν. 4414/2016 (Α’ </w:t>
      </w:r>
      <w:r w:rsidRPr="000004E8">
        <w:rPr>
          <w:rFonts w:ascii="Calibri" w:eastAsia="Times New Roman" w:hAnsi="Calibri" w:cs="Calibri"/>
          <w:shd w:val="clear" w:color="auto" w:fill="FFFFFF"/>
        </w:rPr>
        <w:t xml:space="preserve">149), αναστέλλεται η υπογραφή </w:t>
      </w:r>
      <w:r w:rsidR="00D23EF4" w:rsidRPr="000004E8">
        <w:rPr>
          <w:rFonts w:ascii="Calibri" w:eastAsia="Times New Roman" w:hAnsi="Calibri" w:cs="Calibri"/>
          <w:shd w:val="clear" w:color="auto" w:fill="FFFFFF"/>
        </w:rPr>
        <w:t>σ</w:t>
      </w:r>
      <w:r w:rsidRPr="000004E8">
        <w:rPr>
          <w:rFonts w:ascii="Calibri" w:eastAsia="Times New Roman" w:hAnsi="Calibri" w:cs="Calibri"/>
          <w:shd w:val="clear" w:color="auto" w:fill="FFFFFF"/>
        </w:rPr>
        <w:t xml:space="preserve">υμβάσεων </w:t>
      </w:r>
      <w:r w:rsidR="00D23EF4" w:rsidRPr="000004E8">
        <w:rPr>
          <w:rFonts w:ascii="Calibri" w:eastAsia="Times New Roman" w:hAnsi="Calibri" w:cs="Calibri"/>
          <w:shd w:val="clear" w:color="auto" w:fill="FFFFFF"/>
        </w:rPr>
        <w:t>λ</w:t>
      </w:r>
      <w:r w:rsidRPr="000004E8">
        <w:rPr>
          <w:rFonts w:ascii="Calibri" w:eastAsia="Times New Roman" w:hAnsi="Calibri" w:cs="Calibri"/>
          <w:shd w:val="clear" w:color="auto" w:fill="FFFFFF"/>
        </w:rPr>
        <w:t xml:space="preserve">ειτουργικής </w:t>
      </w:r>
      <w:r w:rsidR="00D23EF4" w:rsidRPr="000004E8">
        <w:rPr>
          <w:rFonts w:ascii="Calibri" w:eastAsia="Times New Roman" w:hAnsi="Calibri" w:cs="Calibri"/>
          <w:shd w:val="clear" w:color="auto" w:fill="FFFFFF"/>
        </w:rPr>
        <w:t>ε</w:t>
      </w:r>
      <w:r w:rsidRPr="000004E8">
        <w:rPr>
          <w:rFonts w:ascii="Calibri" w:eastAsia="Times New Roman" w:hAnsi="Calibri" w:cs="Calibri"/>
          <w:shd w:val="clear" w:color="auto" w:fill="FFFFFF"/>
        </w:rPr>
        <w:t>νίσχυσης των άρθρων 9 και 10 του</w:t>
      </w:r>
      <w:r w:rsidR="00D23EF4" w:rsidRPr="000004E8">
        <w:rPr>
          <w:rFonts w:ascii="Calibri" w:eastAsia="Times New Roman" w:hAnsi="Calibri" w:cs="Calibri"/>
          <w:shd w:val="clear" w:color="auto" w:fill="FFFFFF"/>
        </w:rPr>
        <w:t xml:space="preserve"> νόμου</w:t>
      </w:r>
      <w:r w:rsidRPr="000004E8">
        <w:rPr>
          <w:rFonts w:ascii="Calibri" w:eastAsia="Times New Roman" w:hAnsi="Calibri" w:cs="Calibri"/>
          <w:shd w:val="clear" w:color="auto" w:fill="FFFFFF"/>
        </w:rPr>
        <w:t xml:space="preserve"> </w:t>
      </w:r>
      <w:r w:rsidR="00107172" w:rsidRPr="000004E8">
        <w:rPr>
          <w:rFonts w:ascii="Calibri" w:eastAsia="Times New Roman" w:hAnsi="Calibri" w:cs="Calibri"/>
          <w:shd w:val="clear" w:color="auto" w:fill="FFFFFF"/>
        </w:rPr>
        <w:t xml:space="preserve">αυτού </w:t>
      </w:r>
      <w:r w:rsidRPr="000004E8">
        <w:rPr>
          <w:rFonts w:ascii="Calibri" w:eastAsia="Times New Roman" w:hAnsi="Calibri" w:cs="Calibri"/>
          <w:shd w:val="clear" w:color="auto" w:fill="FFFFFF"/>
        </w:rPr>
        <w:t>για:</w:t>
      </w:r>
    </w:p>
    <w:p w14:paraId="328DC3A0" w14:textId="2A038D35" w:rsidR="00E95755" w:rsidRPr="000004E8" w:rsidRDefault="00E95755"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 xml:space="preserve">α) σταθμούς παραγωγής ηλεκτρικής ενέργειας από </w:t>
      </w:r>
      <w:r w:rsidR="00107172" w:rsidRPr="000004E8">
        <w:rPr>
          <w:rFonts w:cstheme="minorHAnsi"/>
        </w:rPr>
        <w:t>Ανανεώσιμες Πηγές Ενέργειας (Α.Π.Ε.) και Συμπαραγωγής Ηλεκτρισμού – Θερμότητας Υψηλής Απόδοσης (Σ.Η.Θ.Υ.Α.)</w:t>
      </w:r>
      <w:r w:rsidRPr="000004E8">
        <w:rPr>
          <w:rFonts w:ascii="Calibri" w:eastAsia="Times New Roman" w:hAnsi="Calibri" w:cs="Calibri"/>
          <w:shd w:val="clear" w:color="auto" w:fill="FFFFFF"/>
        </w:rPr>
        <w:t xml:space="preserve">, πλην αιολικών και φωτοβολταϊκών σταθμών, εγκατεστημένης ισχύος ή </w:t>
      </w:r>
      <w:r w:rsidR="00D23EF4" w:rsidRPr="000004E8">
        <w:rPr>
          <w:rFonts w:ascii="Calibri" w:eastAsia="Times New Roman" w:hAnsi="Calibri" w:cs="Calibri"/>
          <w:shd w:val="clear" w:color="auto" w:fill="FFFFFF"/>
        </w:rPr>
        <w:t>μ</w:t>
      </w:r>
      <w:r w:rsidRPr="000004E8">
        <w:rPr>
          <w:rFonts w:ascii="Calibri" w:eastAsia="Times New Roman" w:hAnsi="Calibri" w:cs="Calibri"/>
          <w:shd w:val="clear" w:color="auto" w:fill="FFFFFF"/>
        </w:rPr>
        <w:t xml:space="preserve">έγιστης </w:t>
      </w:r>
      <w:r w:rsidR="00D23EF4" w:rsidRPr="000004E8">
        <w:rPr>
          <w:rFonts w:ascii="Calibri" w:eastAsia="Times New Roman" w:hAnsi="Calibri" w:cs="Calibri"/>
          <w:shd w:val="clear" w:color="auto" w:fill="FFFFFF"/>
        </w:rPr>
        <w:t>ι</w:t>
      </w:r>
      <w:r w:rsidRPr="000004E8">
        <w:rPr>
          <w:rFonts w:ascii="Calibri" w:eastAsia="Times New Roman" w:hAnsi="Calibri" w:cs="Calibri"/>
          <w:shd w:val="clear" w:color="auto" w:fill="FFFFFF"/>
        </w:rPr>
        <w:t xml:space="preserve">σχύος </w:t>
      </w:r>
      <w:r w:rsidR="00D23EF4" w:rsidRPr="000004E8">
        <w:rPr>
          <w:rFonts w:ascii="Calibri" w:eastAsia="Times New Roman" w:hAnsi="Calibri" w:cs="Calibri"/>
          <w:shd w:val="clear" w:color="auto" w:fill="FFFFFF"/>
        </w:rPr>
        <w:t>π</w:t>
      </w:r>
      <w:r w:rsidRPr="000004E8">
        <w:rPr>
          <w:rFonts w:ascii="Calibri" w:eastAsia="Times New Roman" w:hAnsi="Calibri" w:cs="Calibri"/>
          <w:shd w:val="clear" w:color="auto" w:fill="FFFFFF"/>
        </w:rPr>
        <w:t xml:space="preserve">αραγωγής μεγαλύτερης ή ίσης του </w:t>
      </w:r>
      <w:r w:rsidR="00D23EF4" w:rsidRPr="000004E8">
        <w:rPr>
          <w:rFonts w:ascii="Calibri" w:eastAsia="Times New Roman" w:hAnsi="Calibri" w:cs="Calibri"/>
          <w:shd w:val="clear" w:color="auto" w:fill="FFFFFF"/>
        </w:rPr>
        <w:t>ενός (</w:t>
      </w:r>
      <w:r w:rsidRPr="000004E8">
        <w:rPr>
          <w:rFonts w:ascii="Calibri" w:eastAsia="Times New Roman" w:hAnsi="Calibri" w:cs="Calibri"/>
          <w:shd w:val="clear" w:color="auto" w:fill="FFFFFF"/>
        </w:rPr>
        <w:t>1</w:t>
      </w:r>
      <w:r w:rsidR="00D23EF4" w:rsidRPr="000004E8">
        <w:rPr>
          <w:rFonts w:ascii="Calibri" w:eastAsia="Times New Roman" w:hAnsi="Calibri" w:cs="Calibri"/>
          <w:shd w:val="clear" w:color="auto" w:fill="FFFFFF"/>
        </w:rPr>
        <w:t>) μεγαβάτ (</w:t>
      </w:r>
      <w:r w:rsidRPr="000004E8">
        <w:rPr>
          <w:rFonts w:ascii="Calibri" w:eastAsia="Times New Roman" w:hAnsi="Calibri" w:cs="Calibri"/>
          <w:shd w:val="clear" w:color="auto" w:fill="FFFFFF"/>
        </w:rPr>
        <w:t>MW</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w:t>
      </w:r>
    </w:p>
    <w:p w14:paraId="03969816" w14:textId="37B80766" w:rsidR="00E95755" w:rsidRPr="000004E8" w:rsidRDefault="00E95755"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 xml:space="preserve">β) αιολικούς σταθμούς εγκατεστημένης ισχύος ή </w:t>
      </w:r>
      <w:r w:rsidR="00D23EF4" w:rsidRPr="000004E8">
        <w:rPr>
          <w:rFonts w:ascii="Calibri" w:eastAsia="Times New Roman" w:hAnsi="Calibri" w:cs="Calibri"/>
          <w:shd w:val="clear" w:color="auto" w:fill="FFFFFF"/>
        </w:rPr>
        <w:t>μ</w:t>
      </w:r>
      <w:r w:rsidRPr="000004E8">
        <w:rPr>
          <w:rFonts w:ascii="Calibri" w:eastAsia="Times New Roman" w:hAnsi="Calibri" w:cs="Calibri"/>
          <w:shd w:val="clear" w:color="auto" w:fill="FFFFFF"/>
        </w:rPr>
        <w:t xml:space="preserve">έγιστης </w:t>
      </w:r>
      <w:r w:rsidR="00D23EF4" w:rsidRPr="000004E8">
        <w:rPr>
          <w:rFonts w:ascii="Calibri" w:eastAsia="Times New Roman" w:hAnsi="Calibri" w:cs="Calibri"/>
          <w:shd w:val="clear" w:color="auto" w:fill="FFFFFF"/>
        </w:rPr>
        <w:t>ι</w:t>
      </w:r>
      <w:r w:rsidRPr="000004E8">
        <w:rPr>
          <w:rFonts w:ascii="Calibri" w:eastAsia="Times New Roman" w:hAnsi="Calibri" w:cs="Calibri"/>
          <w:shd w:val="clear" w:color="auto" w:fill="FFFFFF"/>
        </w:rPr>
        <w:t xml:space="preserve">σχύος </w:t>
      </w:r>
      <w:r w:rsidR="00D23EF4" w:rsidRPr="000004E8">
        <w:rPr>
          <w:rFonts w:ascii="Calibri" w:eastAsia="Times New Roman" w:hAnsi="Calibri" w:cs="Calibri"/>
          <w:shd w:val="clear" w:color="auto" w:fill="FFFFFF"/>
        </w:rPr>
        <w:t>π</w:t>
      </w:r>
      <w:r w:rsidRPr="000004E8">
        <w:rPr>
          <w:rFonts w:ascii="Calibri" w:eastAsia="Times New Roman" w:hAnsi="Calibri" w:cs="Calibri"/>
          <w:shd w:val="clear" w:color="auto" w:fill="FFFFFF"/>
        </w:rPr>
        <w:t xml:space="preserve">αραγωγής μεγαλύτερης των </w:t>
      </w:r>
      <w:r w:rsidR="00D23EF4" w:rsidRPr="000004E8">
        <w:rPr>
          <w:rFonts w:ascii="Calibri" w:eastAsia="Times New Roman" w:hAnsi="Calibri" w:cs="Calibri"/>
          <w:shd w:val="clear" w:color="auto" w:fill="FFFFFF"/>
        </w:rPr>
        <w:t>τριών (</w:t>
      </w:r>
      <w:r w:rsidRPr="000004E8">
        <w:rPr>
          <w:rFonts w:ascii="Calibri" w:eastAsia="Times New Roman" w:hAnsi="Calibri" w:cs="Calibri"/>
          <w:shd w:val="clear" w:color="auto" w:fill="FFFFFF"/>
        </w:rPr>
        <w:t>3</w:t>
      </w:r>
      <w:r w:rsidR="00D23EF4" w:rsidRPr="000004E8">
        <w:rPr>
          <w:rFonts w:ascii="Calibri" w:eastAsia="Times New Roman" w:hAnsi="Calibri" w:cs="Calibri"/>
          <w:shd w:val="clear" w:color="auto" w:fill="FFFFFF"/>
        </w:rPr>
        <w:t>) μεγαβάτ</w:t>
      </w:r>
      <w:r w:rsidRPr="000004E8">
        <w:rPr>
          <w:rFonts w:ascii="Calibri" w:eastAsia="Times New Roman" w:hAnsi="Calibri" w:cs="Calibri"/>
          <w:shd w:val="clear" w:color="auto" w:fill="FFFFFF"/>
        </w:rPr>
        <w:t xml:space="preserve"> </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MW</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και ειδικά για </w:t>
      </w:r>
      <w:r w:rsidR="009277CB" w:rsidRPr="000004E8">
        <w:rPr>
          <w:rFonts w:ascii="Calibri" w:eastAsia="Times New Roman" w:hAnsi="Calibri" w:cs="Calibri"/>
          <w:shd w:val="clear" w:color="auto" w:fill="FFFFFF"/>
        </w:rPr>
        <w:t>ενεργειακές κοινότητες (</w:t>
      </w:r>
      <w:r w:rsidRPr="000004E8">
        <w:rPr>
          <w:rFonts w:ascii="Calibri" w:eastAsia="Times New Roman" w:hAnsi="Calibri" w:cs="Calibri"/>
          <w:shd w:val="clear" w:color="auto" w:fill="FFFFFF"/>
        </w:rPr>
        <w:t>Ε.Κοιν.</w:t>
      </w:r>
      <w:r w:rsidR="009277CB"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μεγαλύτερης των </w:t>
      </w:r>
      <w:r w:rsidR="00D23EF4" w:rsidRPr="000004E8">
        <w:rPr>
          <w:rFonts w:ascii="Calibri" w:eastAsia="Times New Roman" w:hAnsi="Calibri" w:cs="Calibri"/>
          <w:shd w:val="clear" w:color="auto" w:fill="FFFFFF"/>
        </w:rPr>
        <w:t>έξι (</w:t>
      </w:r>
      <w:r w:rsidRPr="000004E8">
        <w:rPr>
          <w:rFonts w:ascii="Calibri" w:eastAsia="Times New Roman" w:hAnsi="Calibri" w:cs="Calibri"/>
          <w:shd w:val="clear" w:color="auto" w:fill="FFFFFF"/>
        </w:rPr>
        <w:t>6</w:t>
      </w:r>
      <w:r w:rsidR="00D23EF4" w:rsidRPr="000004E8">
        <w:rPr>
          <w:rFonts w:ascii="Calibri" w:eastAsia="Times New Roman" w:hAnsi="Calibri" w:cs="Calibri"/>
          <w:shd w:val="clear" w:color="auto" w:fill="FFFFFF"/>
        </w:rPr>
        <w:t>) μεγαβάτ (</w:t>
      </w:r>
      <w:r w:rsidRPr="000004E8">
        <w:rPr>
          <w:rFonts w:ascii="Calibri" w:eastAsia="Times New Roman" w:hAnsi="Calibri" w:cs="Calibri"/>
          <w:shd w:val="clear" w:color="auto" w:fill="FFFFFF"/>
        </w:rPr>
        <w:t>MW</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και</w:t>
      </w:r>
      <w:r w:rsidR="00D23EF4" w:rsidRPr="000004E8">
        <w:rPr>
          <w:rFonts w:ascii="Calibri" w:eastAsia="Times New Roman" w:hAnsi="Calibri" w:cs="Calibri"/>
          <w:shd w:val="clear" w:color="auto" w:fill="FFFFFF"/>
        </w:rPr>
        <w:t>,</w:t>
      </w:r>
    </w:p>
    <w:p w14:paraId="435537FE" w14:textId="5F056F44" w:rsidR="00E95755" w:rsidRPr="000004E8" w:rsidRDefault="00E95755"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 xml:space="preserve">γ) φωτοβολταϊκούς σταθμούς εγκατεστημένης ισχύος μεγαλύτερης ή ίσης των </w:t>
      </w:r>
      <w:r w:rsidR="00D23EF4" w:rsidRPr="000004E8">
        <w:rPr>
          <w:rFonts w:ascii="Calibri" w:eastAsia="Times New Roman" w:hAnsi="Calibri" w:cs="Calibri"/>
          <w:shd w:val="clear" w:color="auto" w:fill="FFFFFF"/>
        </w:rPr>
        <w:t>πεντακοσίων (</w:t>
      </w:r>
      <w:r w:rsidRPr="000004E8">
        <w:rPr>
          <w:rFonts w:ascii="Calibri" w:eastAsia="Times New Roman" w:hAnsi="Calibri" w:cs="Calibri"/>
          <w:shd w:val="clear" w:color="auto" w:fill="FFFFFF"/>
        </w:rPr>
        <w:t>500</w:t>
      </w:r>
      <w:r w:rsidR="00D23EF4" w:rsidRPr="000004E8">
        <w:rPr>
          <w:rFonts w:ascii="Calibri" w:eastAsia="Times New Roman" w:hAnsi="Calibri" w:cs="Calibri"/>
          <w:shd w:val="clear" w:color="auto" w:fill="FFFFFF"/>
        </w:rPr>
        <w:t>) κιλοβάτ (</w:t>
      </w:r>
      <w:r w:rsidRPr="000004E8">
        <w:rPr>
          <w:rFonts w:ascii="Calibri" w:eastAsia="Times New Roman" w:hAnsi="Calibri" w:cs="Calibri"/>
          <w:shd w:val="clear" w:color="auto" w:fill="FFFFFF"/>
          <w:lang w:val="en-US"/>
        </w:rPr>
        <w:t>kW</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και ειδικά για Ε.Κοιν. μεγαλύτερης του 1MW.</w:t>
      </w:r>
    </w:p>
    <w:p w14:paraId="3751E75C" w14:textId="2A2B8945" w:rsidR="00E95755" w:rsidRPr="000004E8" w:rsidRDefault="00E95755"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 xml:space="preserve">Η αναστολή δεν ισχύει για τη σύναψη </w:t>
      </w:r>
      <w:r w:rsidR="00D23EF4" w:rsidRPr="000004E8">
        <w:rPr>
          <w:rFonts w:ascii="Calibri" w:eastAsia="Times New Roman" w:hAnsi="Calibri" w:cs="Calibri"/>
          <w:shd w:val="clear" w:color="auto" w:fill="FFFFFF"/>
        </w:rPr>
        <w:t>σ</w:t>
      </w:r>
      <w:r w:rsidRPr="000004E8">
        <w:rPr>
          <w:rFonts w:ascii="Calibri" w:eastAsia="Times New Roman" w:hAnsi="Calibri" w:cs="Calibri"/>
          <w:shd w:val="clear" w:color="auto" w:fill="FFFFFF"/>
        </w:rPr>
        <w:t xml:space="preserve">υμβάσεων </w:t>
      </w:r>
      <w:r w:rsidR="00D23EF4" w:rsidRPr="000004E8">
        <w:rPr>
          <w:rFonts w:ascii="Calibri" w:eastAsia="Times New Roman" w:hAnsi="Calibri" w:cs="Calibri"/>
          <w:shd w:val="clear" w:color="auto" w:fill="FFFFFF"/>
        </w:rPr>
        <w:t>λ</w:t>
      </w:r>
      <w:r w:rsidRPr="000004E8">
        <w:rPr>
          <w:rFonts w:ascii="Calibri" w:eastAsia="Times New Roman" w:hAnsi="Calibri" w:cs="Calibri"/>
          <w:shd w:val="clear" w:color="auto" w:fill="FFFFFF"/>
        </w:rPr>
        <w:t xml:space="preserve">ειτουργικής </w:t>
      </w:r>
      <w:r w:rsidR="00D23EF4" w:rsidRPr="000004E8">
        <w:rPr>
          <w:rFonts w:ascii="Calibri" w:eastAsia="Times New Roman" w:hAnsi="Calibri" w:cs="Calibri"/>
          <w:shd w:val="clear" w:color="auto" w:fill="FFFFFF"/>
        </w:rPr>
        <w:t>ε</w:t>
      </w:r>
      <w:r w:rsidRPr="000004E8">
        <w:rPr>
          <w:rFonts w:ascii="Calibri" w:eastAsia="Times New Roman" w:hAnsi="Calibri" w:cs="Calibri"/>
          <w:shd w:val="clear" w:color="auto" w:fill="FFFFFF"/>
        </w:rPr>
        <w:t xml:space="preserve">νίσχυσης για σταθμούς: </w:t>
      </w:r>
    </w:p>
    <w:p w14:paraId="5C259753" w14:textId="598CD2F0" w:rsidR="00E95755" w:rsidRPr="000004E8" w:rsidRDefault="0067396F"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γ</w:t>
      </w:r>
      <w:r w:rsidR="00E95755" w:rsidRPr="000004E8">
        <w:rPr>
          <w:rFonts w:ascii="Calibri" w:eastAsia="Times New Roman" w:hAnsi="Calibri" w:cs="Calibri"/>
          <w:shd w:val="clear" w:color="auto" w:fill="FFFFFF"/>
        </w:rPr>
        <w:t>α) που έχουν επιλεγεί ή θα επιλεγούν μέσω ανταγωνιστικών διαδικασιών του άρθρου 7 του ν. 4414/2016</w:t>
      </w:r>
      <w:r w:rsidR="00D23EF4" w:rsidRPr="000004E8">
        <w:rPr>
          <w:rFonts w:ascii="Calibri" w:eastAsia="Times New Roman" w:hAnsi="Calibri" w:cs="Calibri"/>
          <w:shd w:val="clear" w:color="auto" w:fill="FFFFFF"/>
        </w:rPr>
        <w:t>,</w:t>
      </w:r>
      <w:r w:rsidR="00E95755" w:rsidRPr="000004E8">
        <w:rPr>
          <w:rFonts w:ascii="Calibri" w:eastAsia="Times New Roman" w:hAnsi="Calibri" w:cs="Calibri"/>
          <w:shd w:val="clear" w:color="auto" w:fill="FFFFFF"/>
        </w:rPr>
        <w:t xml:space="preserve"> ή</w:t>
      </w:r>
    </w:p>
    <w:p w14:paraId="292B425D" w14:textId="633DEBCA" w:rsidR="00E95755" w:rsidRPr="000004E8" w:rsidRDefault="0067396F" w:rsidP="00E95755">
      <w:pPr>
        <w:spacing w:after="60" w:line="300" w:lineRule="auto"/>
        <w:jc w:val="both"/>
        <w:rPr>
          <w:rFonts w:ascii="Calibri" w:eastAsia="Times New Roman" w:hAnsi="Calibri" w:cs="Calibri"/>
          <w:shd w:val="clear" w:color="auto" w:fill="FFFFFF"/>
        </w:rPr>
      </w:pPr>
      <w:r w:rsidRPr="000004E8">
        <w:rPr>
          <w:rFonts w:ascii="Calibri" w:eastAsia="Times New Roman" w:hAnsi="Calibri" w:cs="Calibri"/>
          <w:shd w:val="clear" w:color="auto" w:fill="FFFFFF"/>
        </w:rPr>
        <w:lastRenderedPageBreak/>
        <w:t>γ</w:t>
      </w:r>
      <w:r w:rsidR="00E95755" w:rsidRPr="000004E8">
        <w:rPr>
          <w:rFonts w:ascii="Calibri" w:eastAsia="Times New Roman" w:hAnsi="Calibri" w:cs="Calibri"/>
          <w:shd w:val="clear" w:color="auto" w:fill="FFFFFF"/>
        </w:rPr>
        <w:t>β) που έχουν αποδεχ</w:t>
      </w:r>
      <w:r w:rsidR="00393710">
        <w:rPr>
          <w:rFonts w:ascii="Calibri" w:eastAsia="Times New Roman" w:hAnsi="Calibri" w:cs="Calibri"/>
          <w:shd w:val="clear" w:color="auto" w:fill="FFFFFF"/>
        </w:rPr>
        <w:t>θ</w:t>
      </w:r>
      <w:r w:rsidR="00E95755" w:rsidRPr="000004E8">
        <w:rPr>
          <w:rFonts w:ascii="Calibri" w:eastAsia="Times New Roman" w:hAnsi="Calibri" w:cs="Calibri"/>
          <w:shd w:val="clear" w:color="auto" w:fill="FFFFFF"/>
        </w:rPr>
        <w:t>εί την οριστική προσφορά σύνδεσης με τη συνυποβολή της προβλεπόμενης εγγυητικής επιστολής ως και την 31.12.2020.</w:t>
      </w:r>
    </w:p>
    <w:p w14:paraId="7E606728" w14:textId="2E81D7B1" w:rsidR="0067396F" w:rsidRPr="000004E8" w:rsidRDefault="0067396F"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γγ) της παρ</w:t>
      </w:r>
      <w:r w:rsidR="00107172"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2 του άρθρου 23 του ν. 4643/2019</w:t>
      </w:r>
      <w:r w:rsidR="00107172" w:rsidRPr="000004E8">
        <w:rPr>
          <w:rFonts w:ascii="Calibri" w:eastAsia="Times New Roman" w:hAnsi="Calibri" w:cs="Calibri"/>
          <w:shd w:val="clear" w:color="auto" w:fill="FFFFFF"/>
        </w:rPr>
        <w:t xml:space="preserve"> (Α’ 193)</w:t>
      </w:r>
      <w:r w:rsidRPr="000004E8">
        <w:rPr>
          <w:rFonts w:ascii="Calibri" w:eastAsia="Times New Roman" w:hAnsi="Calibri" w:cs="Calibri"/>
          <w:shd w:val="clear" w:color="auto" w:fill="FFFFFF"/>
        </w:rPr>
        <w:t>.</w:t>
      </w:r>
    </w:p>
    <w:p w14:paraId="7B9DC33F" w14:textId="598B8869" w:rsidR="00E95755" w:rsidRPr="000004E8" w:rsidRDefault="00E95755" w:rsidP="00E95755">
      <w:pPr>
        <w:spacing w:after="60" w:line="300" w:lineRule="auto"/>
        <w:jc w:val="both"/>
        <w:rPr>
          <w:rFonts w:ascii="Calibri" w:eastAsia="Times New Roman" w:hAnsi="Calibri" w:cs="Calibri"/>
        </w:rPr>
      </w:pPr>
      <w:r w:rsidRPr="000004E8">
        <w:rPr>
          <w:rFonts w:ascii="Calibri" w:eastAsia="Times New Roman" w:hAnsi="Calibri" w:cs="Calibri"/>
          <w:shd w:val="clear" w:color="auto" w:fill="FFFFFF"/>
        </w:rPr>
        <w:t>2. Μέχρι την έκδοση της απόφασης της παρ</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1 του άρθρου 21 του ν. 4414/</w:t>
      </w:r>
      <w:r w:rsidR="00393710">
        <w:rPr>
          <w:rFonts w:ascii="Calibri" w:eastAsia="Times New Roman" w:hAnsi="Calibri" w:cs="Calibri"/>
          <w:shd w:val="clear" w:color="auto" w:fill="FFFFFF"/>
        </w:rPr>
        <w:t>20</w:t>
      </w:r>
      <w:r w:rsidRPr="000004E8">
        <w:rPr>
          <w:rFonts w:ascii="Calibri" w:eastAsia="Times New Roman" w:hAnsi="Calibri" w:cs="Calibri"/>
          <w:shd w:val="clear" w:color="auto" w:fill="FFFFFF"/>
        </w:rPr>
        <w:t>16</w:t>
      </w:r>
      <w:r w:rsidR="00D23EF4" w:rsidRPr="000004E8">
        <w:rPr>
          <w:rFonts w:ascii="Calibri" w:eastAsia="Times New Roman" w:hAnsi="Calibri" w:cs="Calibri"/>
          <w:shd w:val="clear" w:color="auto" w:fill="FFFFFF"/>
        </w:rPr>
        <w:t>,</w:t>
      </w:r>
      <w:r w:rsidRPr="000004E8">
        <w:rPr>
          <w:rFonts w:ascii="Calibri" w:eastAsia="Times New Roman" w:hAnsi="Calibri" w:cs="Calibri"/>
          <w:shd w:val="clear" w:color="auto" w:fill="FFFFFF"/>
        </w:rPr>
        <w:t xml:space="preserve"> αναστέλλεται η έκδοση οριστικών </w:t>
      </w:r>
      <w:r w:rsidR="00D23EF4" w:rsidRPr="000004E8">
        <w:rPr>
          <w:rFonts w:ascii="Calibri" w:eastAsia="Times New Roman" w:hAnsi="Calibri" w:cs="Calibri"/>
          <w:shd w:val="clear" w:color="auto" w:fill="FFFFFF"/>
        </w:rPr>
        <w:t>π</w:t>
      </w:r>
      <w:r w:rsidRPr="000004E8">
        <w:rPr>
          <w:rFonts w:ascii="Calibri" w:eastAsia="Times New Roman" w:hAnsi="Calibri" w:cs="Calibri"/>
          <w:shd w:val="clear" w:color="auto" w:fill="FFFFFF"/>
        </w:rPr>
        <w:t xml:space="preserve">ροσφορών </w:t>
      </w:r>
      <w:r w:rsidR="00D23EF4" w:rsidRPr="000004E8">
        <w:rPr>
          <w:rFonts w:ascii="Calibri" w:eastAsia="Times New Roman" w:hAnsi="Calibri" w:cs="Calibri"/>
          <w:shd w:val="clear" w:color="auto" w:fill="FFFFFF"/>
        </w:rPr>
        <w:t>σ</w:t>
      </w:r>
      <w:r w:rsidRPr="000004E8">
        <w:rPr>
          <w:rFonts w:ascii="Calibri" w:eastAsia="Times New Roman" w:hAnsi="Calibri" w:cs="Calibri"/>
          <w:shd w:val="clear" w:color="auto" w:fill="FFFFFF"/>
        </w:rPr>
        <w:t xml:space="preserve">ύνδεσης και τροποποιήσεων οριστικών </w:t>
      </w:r>
      <w:r w:rsidR="00D23EF4" w:rsidRPr="000004E8">
        <w:rPr>
          <w:rFonts w:ascii="Calibri" w:eastAsia="Times New Roman" w:hAnsi="Calibri" w:cs="Calibri"/>
          <w:shd w:val="clear" w:color="auto" w:fill="FFFFFF"/>
        </w:rPr>
        <w:t>π</w:t>
      </w:r>
      <w:r w:rsidRPr="000004E8">
        <w:rPr>
          <w:rFonts w:ascii="Calibri" w:eastAsia="Times New Roman" w:hAnsi="Calibri" w:cs="Calibri"/>
          <w:shd w:val="clear" w:color="auto" w:fill="FFFFFF"/>
        </w:rPr>
        <w:t xml:space="preserve">ροσφορών </w:t>
      </w:r>
      <w:r w:rsidR="00D23EF4" w:rsidRPr="000004E8">
        <w:rPr>
          <w:rFonts w:ascii="Calibri" w:eastAsia="Times New Roman" w:hAnsi="Calibri" w:cs="Calibri"/>
          <w:shd w:val="clear" w:color="auto" w:fill="FFFFFF"/>
        </w:rPr>
        <w:t>σ</w:t>
      </w:r>
      <w:r w:rsidRPr="000004E8">
        <w:rPr>
          <w:rFonts w:ascii="Calibri" w:eastAsia="Times New Roman" w:hAnsi="Calibri" w:cs="Calibri"/>
          <w:shd w:val="clear" w:color="auto" w:fill="FFFFFF"/>
        </w:rPr>
        <w:t xml:space="preserve">ύνδεσης λόγω αύξησης ισχύος, για </w:t>
      </w:r>
      <w:r w:rsidR="00D23EF4" w:rsidRPr="000004E8">
        <w:rPr>
          <w:rFonts w:ascii="Calibri" w:eastAsia="Times New Roman" w:hAnsi="Calibri" w:cs="Calibri"/>
          <w:shd w:val="clear" w:color="auto" w:fill="FFFFFF"/>
        </w:rPr>
        <w:t>υ</w:t>
      </w:r>
      <w:r w:rsidRPr="000004E8">
        <w:rPr>
          <w:rFonts w:ascii="Calibri" w:eastAsia="Times New Roman" w:hAnsi="Calibri" w:cs="Calibri"/>
          <w:shd w:val="clear" w:color="auto" w:fill="FFFFFF"/>
        </w:rPr>
        <w:t xml:space="preserve">βριδικούς </w:t>
      </w:r>
      <w:r w:rsidR="00D23EF4" w:rsidRPr="000004E8">
        <w:rPr>
          <w:rFonts w:ascii="Calibri" w:eastAsia="Times New Roman" w:hAnsi="Calibri" w:cs="Calibri"/>
          <w:shd w:val="clear" w:color="auto" w:fill="FFFFFF"/>
        </w:rPr>
        <w:t>σ</w:t>
      </w:r>
      <w:r w:rsidRPr="000004E8">
        <w:rPr>
          <w:rFonts w:ascii="Calibri" w:eastAsia="Times New Roman" w:hAnsi="Calibri" w:cs="Calibri"/>
          <w:shd w:val="clear" w:color="auto" w:fill="FFFFFF"/>
        </w:rPr>
        <w:t xml:space="preserve">ταθμούς παραγωγής ηλεκτρικής ενέργειας σε </w:t>
      </w:r>
      <w:r w:rsidR="00107172" w:rsidRPr="000004E8">
        <w:rPr>
          <w:rFonts w:ascii="Calibri" w:eastAsia="Times New Roman" w:hAnsi="Calibri" w:cs="Calibri"/>
          <w:shd w:val="clear" w:color="auto" w:fill="FFFFFF"/>
        </w:rPr>
        <w:t>Μη Διασυνδεδεμένα Νησιά (</w:t>
      </w:r>
      <w:r w:rsidRPr="000004E8">
        <w:rPr>
          <w:rFonts w:ascii="Calibri" w:eastAsia="Times New Roman" w:hAnsi="Calibri" w:cs="Calibri"/>
          <w:shd w:val="clear" w:color="auto" w:fill="FFFFFF"/>
        </w:rPr>
        <w:t>Μ.Δ.Ν.</w:t>
      </w:r>
      <w:r w:rsidR="00107172" w:rsidRPr="000004E8">
        <w:rPr>
          <w:rFonts w:ascii="Calibri" w:eastAsia="Times New Roman" w:hAnsi="Calibri" w:cs="Calibri"/>
          <w:shd w:val="clear" w:color="auto" w:fill="FFFFFF"/>
        </w:rPr>
        <w:t>)</w:t>
      </w:r>
      <w:r w:rsidR="00D23EF4" w:rsidRPr="000004E8">
        <w:rPr>
          <w:rFonts w:ascii="Calibri" w:eastAsia="Times New Roman" w:hAnsi="Calibri" w:cs="Calibri"/>
          <w:shd w:val="clear" w:color="auto" w:fill="FFFFFF"/>
        </w:rPr>
        <w:t>.</w:t>
      </w:r>
    </w:p>
    <w:p w14:paraId="2EC224A2" w14:textId="77777777" w:rsidR="00EA292B" w:rsidRPr="000004E8" w:rsidRDefault="00EA292B" w:rsidP="00F357BF">
      <w:pPr>
        <w:spacing w:after="60" w:line="300" w:lineRule="auto"/>
        <w:jc w:val="both"/>
        <w:rPr>
          <w:rFonts w:cstheme="minorHAnsi"/>
        </w:rPr>
      </w:pPr>
    </w:p>
    <w:p w14:paraId="69041585" w14:textId="11E1567C" w:rsidR="00A931AD" w:rsidRPr="000004E8" w:rsidRDefault="00A363CA" w:rsidP="00F357BF">
      <w:pPr>
        <w:spacing w:after="120" w:line="300" w:lineRule="auto"/>
        <w:jc w:val="center"/>
        <w:rPr>
          <w:rFonts w:cstheme="minorHAnsi"/>
          <w:b/>
        </w:rPr>
      </w:pPr>
      <w:r w:rsidRPr="000004E8">
        <w:rPr>
          <w:rFonts w:cstheme="minorHAnsi"/>
          <w:b/>
        </w:rPr>
        <w:t>Άρθρο 6</w:t>
      </w:r>
    </w:p>
    <w:p w14:paraId="5CBA71C5" w14:textId="14D0B0A1" w:rsidR="00A931AD" w:rsidRPr="000004E8" w:rsidRDefault="00AE72BE" w:rsidP="00F357BF">
      <w:pPr>
        <w:spacing w:after="120" w:line="300" w:lineRule="auto"/>
        <w:jc w:val="center"/>
        <w:rPr>
          <w:rFonts w:cstheme="minorHAnsi"/>
          <w:b/>
        </w:rPr>
      </w:pPr>
      <w:r w:rsidRPr="000004E8">
        <w:rPr>
          <w:rFonts w:cstheme="minorHAnsi"/>
          <w:b/>
        </w:rPr>
        <w:t xml:space="preserve">Ανταγωνιστικές διαδικασίες </w:t>
      </w:r>
      <w:r w:rsidR="00AC1897" w:rsidRPr="000004E8">
        <w:rPr>
          <w:rFonts w:cstheme="minorHAnsi"/>
          <w:b/>
        </w:rPr>
        <w:t>Α</w:t>
      </w:r>
      <w:r w:rsidR="00D23EF4" w:rsidRPr="000004E8">
        <w:rPr>
          <w:rFonts w:cstheme="minorHAnsi"/>
          <w:b/>
        </w:rPr>
        <w:t>.</w:t>
      </w:r>
      <w:r w:rsidR="00AC1897" w:rsidRPr="000004E8">
        <w:rPr>
          <w:rFonts w:cstheme="minorHAnsi"/>
          <w:b/>
        </w:rPr>
        <w:t>Π</w:t>
      </w:r>
      <w:r w:rsidR="00D23EF4" w:rsidRPr="000004E8">
        <w:rPr>
          <w:rFonts w:cstheme="minorHAnsi"/>
          <w:b/>
        </w:rPr>
        <w:t>.</w:t>
      </w:r>
      <w:r w:rsidR="00AC1897" w:rsidRPr="000004E8">
        <w:rPr>
          <w:rFonts w:cstheme="minorHAnsi"/>
          <w:b/>
        </w:rPr>
        <w:t>Ε</w:t>
      </w:r>
      <w:r w:rsidR="00D23EF4" w:rsidRPr="000004E8">
        <w:rPr>
          <w:rFonts w:cstheme="minorHAnsi"/>
          <w:b/>
        </w:rPr>
        <w:t>.</w:t>
      </w:r>
      <w:r w:rsidR="00E56505" w:rsidRPr="000004E8">
        <w:rPr>
          <w:rFonts w:cstheme="minorHAnsi"/>
          <w:b/>
        </w:rPr>
        <w:t xml:space="preserve"> - </w:t>
      </w:r>
      <w:r w:rsidR="00A931AD" w:rsidRPr="000004E8">
        <w:rPr>
          <w:rFonts w:cstheme="minorHAnsi"/>
          <w:b/>
        </w:rPr>
        <w:t>Τροποποίηση άρθρο</w:t>
      </w:r>
      <w:r w:rsidR="00E56505" w:rsidRPr="000004E8">
        <w:rPr>
          <w:rFonts w:cstheme="minorHAnsi"/>
          <w:b/>
        </w:rPr>
        <w:t>υ</w:t>
      </w:r>
      <w:r w:rsidR="00A931AD" w:rsidRPr="000004E8">
        <w:rPr>
          <w:rFonts w:cstheme="minorHAnsi"/>
          <w:b/>
        </w:rPr>
        <w:t xml:space="preserve"> 7 του ν. 4414/2016</w:t>
      </w:r>
      <w:r w:rsidR="00014963" w:rsidRPr="000004E8">
        <w:rPr>
          <w:rFonts w:cstheme="minorHAnsi"/>
          <w:b/>
        </w:rPr>
        <w:t xml:space="preserve"> </w:t>
      </w:r>
      <w:r w:rsidR="003C6114" w:rsidRPr="000004E8">
        <w:rPr>
          <w:rFonts w:cstheme="minorHAnsi"/>
          <w:b/>
        </w:rPr>
        <w:t>και άρθρου 2 του</w:t>
      </w:r>
      <w:r w:rsidR="003E18A7" w:rsidRPr="000004E8">
        <w:rPr>
          <w:rFonts w:cstheme="minorHAnsi"/>
          <w:b/>
        </w:rPr>
        <w:t xml:space="preserve"> </w:t>
      </w:r>
      <w:r w:rsidR="003C6114" w:rsidRPr="000004E8">
        <w:rPr>
          <w:rFonts w:cstheme="minorHAnsi"/>
          <w:b/>
        </w:rPr>
        <w:t>ν. 4513/2018</w:t>
      </w:r>
    </w:p>
    <w:p w14:paraId="77AB8654" w14:textId="104FD70D" w:rsidR="00A931AD" w:rsidRPr="000004E8" w:rsidRDefault="00014963" w:rsidP="00F357BF">
      <w:pPr>
        <w:spacing w:after="60" w:line="300" w:lineRule="auto"/>
        <w:jc w:val="both"/>
        <w:rPr>
          <w:rFonts w:cstheme="minorHAnsi"/>
        </w:rPr>
      </w:pPr>
      <w:r w:rsidRPr="000004E8">
        <w:rPr>
          <w:rFonts w:cstheme="minorHAnsi"/>
        </w:rPr>
        <w:t xml:space="preserve">1. </w:t>
      </w:r>
      <w:r w:rsidR="005C6B70" w:rsidRPr="000004E8">
        <w:rPr>
          <w:rFonts w:cstheme="minorHAnsi"/>
        </w:rPr>
        <w:t>Στο άρθρο</w:t>
      </w:r>
      <w:r w:rsidR="00A931AD" w:rsidRPr="000004E8">
        <w:rPr>
          <w:rFonts w:cstheme="minorHAnsi"/>
        </w:rPr>
        <w:t xml:space="preserve"> 7 </w:t>
      </w:r>
      <w:r w:rsidR="00034298" w:rsidRPr="000004E8">
        <w:rPr>
          <w:rFonts w:cstheme="minorHAnsi"/>
        </w:rPr>
        <w:t>του ν. 4414/2016</w:t>
      </w:r>
      <w:r w:rsidRPr="000004E8">
        <w:rPr>
          <w:rFonts w:cstheme="minorHAnsi"/>
        </w:rPr>
        <w:t xml:space="preserve"> (Α΄ 149) </w:t>
      </w:r>
      <w:r w:rsidR="00A931AD" w:rsidRPr="000004E8">
        <w:rPr>
          <w:rFonts w:cstheme="minorHAnsi"/>
        </w:rPr>
        <w:t>προστίθενται</w:t>
      </w:r>
      <w:r w:rsidR="00764895" w:rsidRPr="000004E8">
        <w:rPr>
          <w:rFonts w:cstheme="minorHAnsi"/>
        </w:rPr>
        <w:t xml:space="preserve"> νέες </w:t>
      </w:r>
      <w:r w:rsidR="00107172" w:rsidRPr="000004E8">
        <w:rPr>
          <w:rFonts w:cstheme="minorHAnsi"/>
        </w:rPr>
        <w:t xml:space="preserve">παρ. </w:t>
      </w:r>
      <w:r w:rsidR="00764895" w:rsidRPr="000004E8">
        <w:rPr>
          <w:rFonts w:cstheme="minorHAnsi"/>
        </w:rPr>
        <w:t>3β, 3γ, 3δ</w:t>
      </w:r>
      <w:r w:rsidR="00393710">
        <w:rPr>
          <w:rFonts w:cstheme="minorHAnsi"/>
        </w:rPr>
        <w:t>,</w:t>
      </w:r>
      <w:r w:rsidR="006D02E7" w:rsidRPr="000004E8">
        <w:rPr>
          <w:rFonts w:cstheme="minorHAnsi"/>
        </w:rPr>
        <w:t xml:space="preserve"> </w:t>
      </w:r>
      <w:r w:rsidR="00B85813" w:rsidRPr="000004E8">
        <w:rPr>
          <w:rFonts w:cstheme="minorHAnsi"/>
        </w:rPr>
        <w:t>3στ</w:t>
      </w:r>
      <w:r w:rsidR="00764895" w:rsidRPr="000004E8">
        <w:rPr>
          <w:rFonts w:cstheme="minorHAnsi"/>
        </w:rPr>
        <w:t xml:space="preserve"> </w:t>
      </w:r>
      <w:r w:rsidRPr="000004E8">
        <w:rPr>
          <w:rFonts w:cstheme="minorHAnsi"/>
        </w:rPr>
        <w:t>ως εξής:</w:t>
      </w:r>
    </w:p>
    <w:p w14:paraId="2FAF0D74" w14:textId="23A3C0D2" w:rsidR="00AC1508" w:rsidRPr="000004E8" w:rsidRDefault="00FF0AA1" w:rsidP="00F357BF">
      <w:pPr>
        <w:spacing w:after="60" w:line="300" w:lineRule="auto"/>
        <w:jc w:val="both"/>
        <w:rPr>
          <w:rFonts w:cstheme="minorHAnsi"/>
          <w:bCs/>
        </w:rPr>
      </w:pPr>
      <w:r w:rsidRPr="000004E8">
        <w:rPr>
          <w:rFonts w:cstheme="minorHAnsi"/>
          <w:bCs/>
        </w:rPr>
        <w:t>«</w:t>
      </w:r>
      <w:r w:rsidR="00AC1508" w:rsidRPr="000004E8">
        <w:rPr>
          <w:rFonts w:cstheme="minorHAnsi"/>
          <w:bCs/>
        </w:rPr>
        <w:t xml:space="preserve">3β. </w:t>
      </w:r>
      <w:r w:rsidR="00107172" w:rsidRPr="000004E8">
        <w:rPr>
          <w:rFonts w:cstheme="minorHAnsi"/>
          <w:bCs/>
        </w:rPr>
        <w:t>Για τις ν</w:t>
      </w:r>
      <w:r w:rsidR="00AC1508" w:rsidRPr="000004E8">
        <w:rPr>
          <w:rFonts w:cstheme="minorHAnsi"/>
          <w:bCs/>
        </w:rPr>
        <w:t>έες αιτήσεις χορήγηση</w:t>
      </w:r>
      <w:r w:rsidR="00107172" w:rsidRPr="000004E8">
        <w:rPr>
          <w:rFonts w:cstheme="minorHAnsi"/>
          <w:bCs/>
        </w:rPr>
        <w:t>ς</w:t>
      </w:r>
      <w:r w:rsidR="00AC1508" w:rsidRPr="000004E8">
        <w:rPr>
          <w:rFonts w:cstheme="minorHAnsi"/>
          <w:bCs/>
        </w:rPr>
        <w:t xml:space="preserve"> οριστικής προσφοράς σύνδεσης για </w:t>
      </w:r>
      <w:r w:rsidR="00094456" w:rsidRPr="000004E8">
        <w:rPr>
          <w:rFonts w:cstheme="minorHAnsi"/>
          <w:bCs/>
        </w:rPr>
        <w:t xml:space="preserve">φωτοβολταϊκούς </w:t>
      </w:r>
      <w:r w:rsidR="00AC1508" w:rsidRPr="000004E8">
        <w:rPr>
          <w:rFonts w:cstheme="minorHAnsi"/>
          <w:bCs/>
        </w:rPr>
        <w:t>σταθμούς που υποβάλλονται από την 1</w:t>
      </w:r>
      <w:r w:rsidR="00393710">
        <w:rPr>
          <w:rFonts w:cstheme="minorHAnsi"/>
          <w:bCs/>
        </w:rPr>
        <w:t>η</w:t>
      </w:r>
      <w:r w:rsidR="00AC1508" w:rsidRPr="000004E8">
        <w:rPr>
          <w:rFonts w:cstheme="minorHAnsi"/>
          <w:bCs/>
        </w:rPr>
        <w:t xml:space="preserve">.1.2021 στον αρμόδιο </w:t>
      </w:r>
      <w:r w:rsidR="00094456" w:rsidRPr="000004E8">
        <w:rPr>
          <w:rFonts w:cstheme="minorHAnsi"/>
          <w:bCs/>
        </w:rPr>
        <w:t>δ</w:t>
      </w:r>
      <w:r w:rsidR="00AC1508" w:rsidRPr="000004E8">
        <w:rPr>
          <w:rFonts w:cstheme="minorHAnsi"/>
          <w:bCs/>
        </w:rPr>
        <w:t xml:space="preserve">ιαχειριστή, εξαιρουμένων των σταθμών του </w:t>
      </w:r>
      <w:r w:rsidR="00426D4B" w:rsidRPr="000004E8">
        <w:rPr>
          <w:rFonts w:cstheme="minorHAnsi"/>
          <w:bCs/>
        </w:rPr>
        <w:t xml:space="preserve"> </w:t>
      </w:r>
      <w:r w:rsidR="00F47F8B" w:rsidRPr="000004E8">
        <w:rPr>
          <w:rFonts w:cstheme="minorHAnsi"/>
          <w:bCs/>
        </w:rPr>
        <w:t xml:space="preserve">Ειδικού Προγράμματος Ανάπτυξης Φωτοβολταϊκών Συστημάτων </w:t>
      </w:r>
      <w:r w:rsidR="00426D4B" w:rsidRPr="000004E8">
        <w:rPr>
          <w:rFonts w:cstheme="minorHAnsi"/>
          <w:bCs/>
        </w:rPr>
        <w:t>σε κτιριακές εγκαταστάσεις</w:t>
      </w:r>
      <w:r w:rsidR="00AC1508" w:rsidRPr="000004E8">
        <w:rPr>
          <w:rFonts w:cstheme="minorHAnsi"/>
          <w:bCs/>
        </w:rPr>
        <w:t>, καθώς και</w:t>
      </w:r>
      <w:r w:rsidR="00107172" w:rsidRPr="000004E8">
        <w:rPr>
          <w:rFonts w:cstheme="minorHAnsi"/>
          <w:bCs/>
        </w:rPr>
        <w:t xml:space="preserve"> για τις </w:t>
      </w:r>
      <w:r w:rsidR="00AC1508" w:rsidRPr="000004E8">
        <w:rPr>
          <w:rFonts w:cstheme="minorHAnsi"/>
          <w:bCs/>
        </w:rPr>
        <w:t xml:space="preserve"> </w:t>
      </w:r>
      <w:r w:rsidR="002E6A06" w:rsidRPr="000004E8">
        <w:rPr>
          <w:rFonts w:cstheme="minorHAnsi"/>
          <w:bCs/>
        </w:rPr>
        <w:t xml:space="preserve">εκκρεμείς </w:t>
      </w:r>
      <w:r w:rsidR="00AC1508" w:rsidRPr="000004E8">
        <w:rPr>
          <w:rFonts w:cstheme="minorHAnsi"/>
          <w:bCs/>
        </w:rPr>
        <w:t xml:space="preserve">αιτήσεις χορήγησης προσφορών σύνδεσης που </w:t>
      </w:r>
      <w:r w:rsidR="00094456" w:rsidRPr="000004E8">
        <w:rPr>
          <w:rFonts w:cstheme="minorHAnsi"/>
          <w:bCs/>
        </w:rPr>
        <w:t>καθίστανται</w:t>
      </w:r>
      <w:r w:rsidR="00AC1508" w:rsidRPr="000004E8">
        <w:rPr>
          <w:rFonts w:cstheme="minorHAnsi"/>
          <w:bCs/>
        </w:rPr>
        <w:t xml:space="preserve"> πλήρεις για </w:t>
      </w:r>
      <w:r w:rsidR="00EC1DCE" w:rsidRPr="000004E8">
        <w:rPr>
          <w:rFonts w:cstheme="minorHAnsi"/>
          <w:bCs/>
        </w:rPr>
        <w:t xml:space="preserve">χορήγηση και </w:t>
      </w:r>
      <w:r w:rsidR="00AC1508" w:rsidRPr="000004E8">
        <w:rPr>
          <w:rFonts w:cstheme="minorHAnsi"/>
          <w:bCs/>
        </w:rPr>
        <w:t xml:space="preserve"> κατάταξ</w:t>
      </w:r>
      <w:r w:rsidR="00094456" w:rsidRPr="000004E8">
        <w:rPr>
          <w:rFonts w:cstheme="minorHAnsi"/>
          <w:bCs/>
        </w:rPr>
        <w:t>ή</w:t>
      </w:r>
      <w:r w:rsidR="00AC1508" w:rsidRPr="000004E8">
        <w:rPr>
          <w:rFonts w:cstheme="minorHAnsi"/>
          <w:bCs/>
        </w:rPr>
        <w:t xml:space="preserve"> τους σε σειρά προτεραιότητας μετά την 1</w:t>
      </w:r>
      <w:r w:rsidR="00393710">
        <w:rPr>
          <w:rFonts w:cstheme="minorHAnsi"/>
          <w:bCs/>
        </w:rPr>
        <w:t>η</w:t>
      </w:r>
      <w:r w:rsidR="00AC1508" w:rsidRPr="000004E8">
        <w:rPr>
          <w:rFonts w:cstheme="minorHAnsi"/>
          <w:bCs/>
        </w:rPr>
        <w:t xml:space="preserve">.1.2021, </w:t>
      </w:r>
      <w:r w:rsidR="00107172" w:rsidRPr="000004E8">
        <w:rPr>
          <w:rFonts w:cstheme="minorHAnsi"/>
          <w:bCs/>
        </w:rPr>
        <w:t>συνάπτονται</w:t>
      </w:r>
      <w:r w:rsidR="00AC1508" w:rsidRPr="000004E8">
        <w:rPr>
          <w:rFonts w:cstheme="minorHAnsi"/>
          <w:bCs/>
        </w:rPr>
        <w:t xml:space="preserve"> συμβάσεις λειτουργικής ενίσχυσης μόνο μετά τη συμμετοχή τους σε ανταγωνιστική διαδικασία υποβολής προσφορών, επιπροσθέτως των οριζόμενων στις παρ. 3γ και 3δ.</w:t>
      </w:r>
    </w:p>
    <w:p w14:paraId="69A3EB9D" w14:textId="2B7332A6" w:rsidR="00AC1508" w:rsidRPr="000004E8" w:rsidRDefault="00AC1508" w:rsidP="00F357BF">
      <w:pPr>
        <w:spacing w:after="60" w:line="300" w:lineRule="auto"/>
        <w:jc w:val="both"/>
        <w:rPr>
          <w:rFonts w:cstheme="minorHAnsi"/>
          <w:bCs/>
        </w:rPr>
      </w:pPr>
      <w:r w:rsidRPr="000004E8">
        <w:rPr>
          <w:rFonts w:cstheme="minorHAnsi"/>
          <w:bCs/>
        </w:rPr>
        <w:t xml:space="preserve">Έως τις </w:t>
      </w:r>
      <w:r w:rsidR="00825DAC" w:rsidRPr="000004E8">
        <w:rPr>
          <w:rFonts w:cstheme="minorHAnsi"/>
          <w:bCs/>
        </w:rPr>
        <w:t>28.2</w:t>
      </w:r>
      <w:r w:rsidRPr="000004E8">
        <w:rPr>
          <w:rFonts w:cstheme="minorHAnsi"/>
          <w:bCs/>
        </w:rPr>
        <w:t>.2021, ο</w:t>
      </w:r>
      <w:r w:rsidR="00487645" w:rsidRPr="000004E8">
        <w:rPr>
          <w:rFonts w:cstheme="minorHAnsi"/>
          <w:bCs/>
        </w:rPr>
        <w:t>ι α</w:t>
      </w:r>
      <w:r w:rsidRPr="000004E8">
        <w:rPr>
          <w:rFonts w:cstheme="minorHAnsi"/>
          <w:bCs/>
        </w:rPr>
        <w:t xml:space="preserve">ρμόδιοι </w:t>
      </w:r>
      <w:r w:rsidR="00094456" w:rsidRPr="000004E8">
        <w:rPr>
          <w:rFonts w:cstheme="minorHAnsi"/>
          <w:bCs/>
        </w:rPr>
        <w:t>δ</w:t>
      </w:r>
      <w:r w:rsidRPr="000004E8">
        <w:rPr>
          <w:rFonts w:cstheme="minorHAnsi"/>
          <w:bCs/>
        </w:rPr>
        <w:t xml:space="preserve">ιαχειριστές υποχρεούνται να δημοσιεύσουν λίστα με τις αιτήσεις χορήγησης προσφορών σύνδεσης για </w:t>
      </w:r>
      <w:bookmarkStart w:id="2" w:name="_Hlk57477359"/>
      <w:r w:rsidR="00094456" w:rsidRPr="000004E8">
        <w:rPr>
          <w:rFonts w:cstheme="minorHAnsi"/>
          <w:bCs/>
        </w:rPr>
        <w:t>φωτοβολταϊκούς</w:t>
      </w:r>
      <w:r w:rsidRPr="000004E8">
        <w:rPr>
          <w:rFonts w:cstheme="minorHAnsi"/>
          <w:bCs/>
        </w:rPr>
        <w:t xml:space="preserve"> </w:t>
      </w:r>
      <w:bookmarkEnd w:id="2"/>
      <w:r w:rsidRPr="000004E8">
        <w:rPr>
          <w:rFonts w:cstheme="minorHAnsi"/>
          <w:bCs/>
        </w:rPr>
        <w:t>σταθμούς που έχουν υποβληθεί πριν τ</w:t>
      </w:r>
      <w:r w:rsidR="00393710">
        <w:rPr>
          <w:rFonts w:cstheme="minorHAnsi"/>
          <w:bCs/>
        </w:rPr>
        <w:t>ις</w:t>
      </w:r>
      <w:r w:rsidRPr="000004E8">
        <w:rPr>
          <w:rFonts w:cstheme="minorHAnsi"/>
          <w:bCs/>
        </w:rPr>
        <w:t xml:space="preserve"> 31.12.2020, επισημαίνοντας </w:t>
      </w:r>
      <w:r w:rsidR="00094456" w:rsidRPr="000004E8">
        <w:rPr>
          <w:rFonts w:cstheme="minorHAnsi"/>
          <w:bCs/>
        </w:rPr>
        <w:t xml:space="preserve">ότι </w:t>
      </w:r>
      <w:r w:rsidRPr="000004E8">
        <w:rPr>
          <w:rFonts w:cstheme="minorHAnsi"/>
          <w:bCs/>
        </w:rPr>
        <w:t xml:space="preserve">εμπίπτουν στο προηγούμενο </w:t>
      </w:r>
      <w:r w:rsidR="00094456" w:rsidRPr="000004E8">
        <w:rPr>
          <w:rFonts w:cstheme="minorHAnsi"/>
          <w:bCs/>
        </w:rPr>
        <w:t>εδάφιο</w:t>
      </w:r>
      <w:r w:rsidRPr="000004E8">
        <w:rPr>
          <w:rFonts w:cstheme="minorHAnsi"/>
          <w:bCs/>
        </w:rPr>
        <w:t>.</w:t>
      </w:r>
    </w:p>
    <w:p w14:paraId="5092C305" w14:textId="0715C442" w:rsidR="00AC1508" w:rsidRPr="000004E8" w:rsidRDefault="00AC1508" w:rsidP="00F357BF">
      <w:pPr>
        <w:spacing w:after="60" w:line="300" w:lineRule="auto"/>
        <w:jc w:val="both"/>
        <w:rPr>
          <w:rFonts w:cstheme="minorHAnsi"/>
          <w:bCs/>
        </w:rPr>
      </w:pPr>
      <w:r w:rsidRPr="000004E8">
        <w:rPr>
          <w:rFonts w:cstheme="minorHAnsi"/>
          <w:bCs/>
        </w:rPr>
        <w:t xml:space="preserve">3γ. </w:t>
      </w:r>
      <w:r w:rsidR="00094456" w:rsidRPr="000004E8">
        <w:rPr>
          <w:rFonts w:cstheme="minorHAnsi"/>
          <w:bCs/>
        </w:rPr>
        <w:t>Μ</w:t>
      </w:r>
      <w:r w:rsidRPr="000004E8">
        <w:rPr>
          <w:rFonts w:cstheme="minorHAnsi"/>
          <w:bCs/>
        </w:rPr>
        <w:t>ετά την 1</w:t>
      </w:r>
      <w:r w:rsidR="00393710">
        <w:rPr>
          <w:rFonts w:cstheme="minorHAnsi"/>
          <w:bCs/>
        </w:rPr>
        <w:t>η</w:t>
      </w:r>
      <w:r w:rsidRPr="000004E8">
        <w:rPr>
          <w:rFonts w:cstheme="minorHAnsi"/>
          <w:bCs/>
        </w:rPr>
        <w:t>.1.2022</w:t>
      </w:r>
      <w:r w:rsidR="00094456" w:rsidRPr="000004E8">
        <w:rPr>
          <w:rFonts w:cstheme="minorHAnsi"/>
          <w:bCs/>
        </w:rPr>
        <w:t>,</w:t>
      </w:r>
      <w:r w:rsidRPr="000004E8">
        <w:rPr>
          <w:rFonts w:cstheme="minorHAnsi"/>
          <w:bCs/>
        </w:rPr>
        <w:t xml:space="preserve"> </w:t>
      </w:r>
      <w:r w:rsidR="00E71464" w:rsidRPr="000004E8">
        <w:rPr>
          <w:rFonts w:cstheme="minorHAnsi"/>
          <w:bCs/>
        </w:rPr>
        <w:t xml:space="preserve">δεν δύναται </w:t>
      </w:r>
      <w:r w:rsidRPr="000004E8">
        <w:rPr>
          <w:rFonts w:cstheme="minorHAnsi"/>
          <w:bCs/>
        </w:rPr>
        <w:t>να υπογραφεί σύμβαση λειτουργικής ενίσχυσ</w:t>
      </w:r>
      <w:r w:rsidR="00E71464" w:rsidRPr="000004E8">
        <w:rPr>
          <w:rFonts w:cstheme="minorHAnsi"/>
          <w:bCs/>
        </w:rPr>
        <w:t xml:space="preserve">ης για φωτοβολταϊκούς σταθμούς, </w:t>
      </w:r>
      <w:r w:rsidRPr="000004E8">
        <w:rPr>
          <w:rFonts w:cstheme="minorHAnsi"/>
          <w:bCs/>
        </w:rPr>
        <w:t xml:space="preserve">εξαιρουμένων των σταθμών του </w:t>
      </w:r>
      <w:r w:rsidR="00426D4B" w:rsidRPr="000004E8">
        <w:rPr>
          <w:rFonts w:cstheme="minorHAnsi"/>
          <w:bCs/>
        </w:rPr>
        <w:t>Ειδικού Προγράμματος Ανάπτυξης Φωτοβολταϊκών Συστημάτων σε κτιριακές εγκαταστάσεις</w:t>
      </w:r>
      <w:r w:rsidR="00E71464" w:rsidRPr="000004E8">
        <w:rPr>
          <w:rFonts w:cstheme="minorHAnsi"/>
          <w:bCs/>
        </w:rPr>
        <w:t>,</w:t>
      </w:r>
      <w:r w:rsidRPr="000004E8">
        <w:rPr>
          <w:rFonts w:cstheme="minorHAnsi"/>
          <w:bCs/>
        </w:rPr>
        <w:t xml:space="preserve"> χωρίς την προηγούμενη συμμετοχή σε ανταγωνιστική διαδικασία υποβολής προσφορών.</w:t>
      </w:r>
    </w:p>
    <w:p w14:paraId="2950809E" w14:textId="6FC0DF45" w:rsidR="00AC1508" w:rsidRPr="000004E8" w:rsidRDefault="00AC1508" w:rsidP="00F357BF">
      <w:pPr>
        <w:spacing w:after="60" w:line="300" w:lineRule="auto"/>
        <w:jc w:val="both"/>
        <w:rPr>
          <w:rFonts w:cstheme="minorHAnsi"/>
          <w:bCs/>
        </w:rPr>
      </w:pPr>
      <w:r w:rsidRPr="000004E8">
        <w:rPr>
          <w:rFonts w:cstheme="minorHAnsi"/>
          <w:bCs/>
        </w:rPr>
        <w:t xml:space="preserve">3δ. Ειδικά για φωτοβολταϊκούς σταθμούς που αναπτύσσονται από </w:t>
      </w:r>
      <w:r w:rsidR="00107172" w:rsidRPr="000004E8">
        <w:rPr>
          <w:rFonts w:cstheme="minorHAnsi"/>
          <w:bCs/>
        </w:rPr>
        <w:t>Ενεργειακή Κοινότητα (</w:t>
      </w:r>
      <w:r w:rsidRPr="000004E8">
        <w:rPr>
          <w:rFonts w:cstheme="minorHAnsi"/>
          <w:bCs/>
        </w:rPr>
        <w:t>Ε.Κοιν.</w:t>
      </w:r>
      <w:r w:rsidR="00107172" w:rsidRPr="000004E8">
        <w:rPr>
          <w:rFonts w:cstheme="minorHAnsi"/>
          <w:bCs/>
        </w:rPr>
        <w:t>)</w:t>
      </w:r>
      <w:r w:rsidRPr="000004E8">
        <w:rPr>
          <w:rFonts w:cstheme="minorHAnsi"/>
          <w:bCs/>
        </w:rPr>
        <w:t>, εξαιρουμένων των περιπτώσεων της παρ. 3ε, η ίδια Ε.Κοιν. δεν δύναται</w:t>
      </w:r>
      <w:r w:rsidR="00094456" w:rsidRPr="000004E8">
        <w:rPr>
          <w:rFonts w:cstheme="minorHAnsi"/>
          <w:bCs/>
        </w:rPr>
        <w:t>,</w:t>
      </w:r>
      <w:r w:rsidRPr="000004E8">
        <w:rPr>
          <w:rFonts w:cstheme="minorHAnsi"/>
          <w:bCs/>
        </w:rPr>
        <w:t xml:space="preserve"> μετά την 1</w:t>
      </w:r>
      <w:r w:rsidR="00393710">
        <w:rPr>
          <w:rFonts w:cstheme="minorHAnsi"/>
          <w:bCs/>
        </w:rPr>
        <w:t>η</w:t>
      </w:r>
      <w:r w:rsidRPr="000004E8">
        <w:rPr>
          <w:rFonts w:cstheme="minorHAnsi"/>
          <w:bCs/>
        </w:rPr>
        <w:t>.7.2021</w:t>
      </w:r>
      <w:r w:rsidR="00094456" w:rsidRPr="000004E8">
        <w:rPr>
          <w:rFonts w:cstheme="minorHAnsi"/>
          <w:bCs/>
        </w:rPr>
        <w:t>,</w:t>
      </w:r>
      <w:r w:rsidRPr="000004E8">
        <w:rPr>
          <w:rFonts w:cstheme="minorHAnsi"/>
          <w:bCs/>
        </w:rPr>
        <w:t xml:space="preserve"> να</w:t>
      </w:r>
      <w:r w:rsidR="00EA0EE5" w:rsidRPr="000004E8">
        <w:rPr>
          <w:rFonts w:cstheme="minorHAnsi"/>
          <w:bCs/>
        </w:rPr>
        <w:t xml:space="preserve"> συνάψει </w:t>
      </w:r>
      <w:r w:rsidRPr="000004E8">
        <w:rPr>
          <w:rFonts w:cstheme="minorHAnsi"/>
          <w:bCs/>
        </w:rPr>
        <w:t>πάνω από δύο (2) συμβάσεις λειτουργικής ενίσχυσης για φωτοβολταϊκούς σταθμούς</w:t>
      </w:r>
      <w:r w:rsidR="006A7921" w:rsidRPr="006A7921">
        <w:rPr>
          <w:rFonts w:cstheme="minorHAnsi"/>
          <w:bCs/>
        </w:rPr>
        <w:t xml:space="preserve"> και για συνολική εγκατεστημένη ισχύ πάνω από ένα (1) μεγαβάτ (</w:t>
      </w:r>
      <w:r w:rsidR="006A7921" w:rsidRPr="006A7921">
        <w:rPr>
          <w:rFonts w:cstheme="minorHAnsi"/>
          <w:bCs/>
          <w:lang w:val="en-US"/>
        </w:rPr>
        <w:t>MW</w:t>
      </w:r>
      <w:r w:rsidR="006A7921" w:rsidRPr="006A7921">
        <w:rPr>
          <w:rFonts w:cstheme="minorHAnsi"/>
          <w:bCs/>
        </w:rPr>
        <w:t>),</w:t>
      </w:r>
      <w:r w:rsidRPr="000004E8">
        <w:rPr>
          <w:rFonts w:cstheme="minorHAnsi"/>
          <w:bCs/>
        </w:rPr>
        <w:t xml:space="preserve"> χωρίς την προηγούμενη συμμετοχή σε ανταγωνιστική διαδικασία υποβολής προσφορών.</w:t>
      </w:r>
    </w:p>
    <w:p w14:paraId="71051FC9" w14:textId="1D13C514" w:rsidR="00EE4841" w:rsidRPr="000004E8" w:rsidRDefault="00AC1508" w:rsidP="00BF52BC">
      <w:pPr>
        <w:spacing w:after="60" w:line="360" w:lineRule="auto"/>
        <w:jc w:val="both"/>
        <w:rPr>
          <w:rFonts w:cstheme="minorHAnsi"/>
          <w:bCs/>
        </w:rPr>
      </w:pPr>
      <w:r w:rsidRPr="000004E8">
        <w:rPr>
          <w:rFonts w:cstheme="minorHAnsi"/>
          <w:bCs/>
        </w:rPr>
        <w:t>3ε. Ειδικ</w:t>
      </w:r>
      <w:r w:rsidR="00EA0EE5" w:rsidRPr="000004E8">
        <w:rPr>
          <w:rFonts w:cstheme="minorHAnsi"/>
          <w:bCs/>
        </w:rPr>
        <w:t>ά</w:t>
      </w:r>
      <w:r w:rsidRPr="000004E8">
        <w:rPr>
          <w:rFonts w:cstheme="minorHAnsi"/>
          <w:bCs/>
        </w:rPr>
        <w:t xml:space="preserve"> για τις Ε.</w:t>
      </w:r>
      <w:r w:rsidR="00107172" w:rsidRPr="000004E8">
        <w:rPr>
          <w:rFonts w:cstheme="minorHAnsi"/>
          <w:bCs/>
        </w:rPr>
        <w:t xml:space="preserve"> </w:t>
      </w:r>
      <w:r w:rsidRPr="000004E8">
        <w:rPr>
          <w:rFonts w:cstheme="minorHAnsi"/>
          <w:bCs/>
        </w:rPr>
        <w:t xml:space="preserve">Κοιν. στις οποίες συμμετέχουν </w:t>
      </w:r>
      <w:r w:rsidR="00107172" w:rsidRPr="000004E8">
        <w:rPr>
          <w:rFonts w:cstheme="minorHAnsi"/>
          <w:bCs/>
        </w:rPr>
        <w:t>Οργανισμοί Τοπικής Αυτοδιοίκησης (</w:t>
      </w:r>
      <w:r w:rsidRPr="000004E8">
        <w:rPr>
          <w:rFonts w:cstheme="minorHAnsi"/>
          <w:bCs/>
        </w:rPr>
        <w:t>Ο.Τ.Α.</w:t>
      </w:r>
      <w:r w:rsidR="00107172" w:rsidRPr="000004E8">
        <w:rPr>
          <w:rFonts w:cstheme="minorHAnsi"/>
          <w:bCs/>
        </w:rPr>
        <w:t>)</w:t>
      </w:r>
      <w:r w:rsidRPr="000004E8">
        <w:rPr>
          <w:rFonts w:cstheme="minorHAnsi"/>
          <w:bCs/>
        </w:rPr>
        <w:t xml:space="preserve"> Α’ και Β΄ βαθμού και για τις Ε.</w:t>
      </w:r>
      <w:r w:rsidR="00107172" w:rsidRPr="000004E8">
        <w:rPr>
          <w:rFonts w:cstheme="minorHAnsi"/>
          <w:bCs/>
        </w:rPr>
        <w:t xml:space="preserve"> </w:t>
      </w:r>
      <w:r w:rsidRPr="000004E8">
        <w:rPr>
          <w:rFonts w:cstheme="minorHAnsi"/>
          <w:bCs/>
        </w:rPr>
        <w:t xml:space="preserve">Κοιν. με περισσότερα από </w:t>
      </w:r>
      <w:r w:rsidR="00094456" w:rsidRPr="000004E8">
        <w:rPr>
          <w:rFonts w:cstheme="minorHAnsi"/>
          <w:bCs/>
        </w:rPr>
        <w:t>εξήντα (</w:t>
      </w:r>
      <w:r w:rsidRPr="000004E8">
        <w:rPr>
          <w:rFonts w:cstheme="minorHAnsi"/>
          <w:bCs/>
        </w:rPr>
        <w:t>60</w:t>
      </w:r>
      <w:r w:rsidR="00094456" w:rsidRPr="000004E8">
        <w:rPr>
          <w:rFonts w:cstheme="minorHAnsi"/>
          <w:bCs/>
        </w:rPr>
        <w:t>)</w:t>
      </w:r>
      <w:r w:rsidRPr="000004E8">
        <w:rPr>
          <w:rFonts w:cstheme="minorHAnsi"/>
          <w:bCs/>
        </w:rPr>
        <w:t xml:space="preserve"> μέλη, εκ των οποίων τουλάχιστον τα </w:t>
      </w:r>
      <w:r w:rsidR="00094456" w:rsidRPr="000004E8">
        <w:rPr>
          <w:rFonts w:cstheme="minorHAnsi"/>
          <w:bCs/>
        </w:rPr>
        <w:t>πενήντα (</w:t>
      </w:r>
      <w:r w:rsidRPr="000004E8">
        <w:rPr>
          <w:rFonts w:cstheme="minorHAnsi"/>
          <w:bCs/>
        </w:rPr>
        <w:t>50</w:t>
      </w:r>
      <w:r w:rsidR="00094456" w:rsidRPr="000004E8">
        <w:rPr>
          <w:rFonts w:cstheme="minorHAnsi"/>
          <w:bCs/>
        </w:rPr>
        <w:t>)</w:t>
      </w:r>
      <w:r w:rsidRPr="000004E8">
        <w:rPr>
          <w:rFonts w:cstheme="minorHAnsi"/>
          <w:bCs/>
        </w:rPr>
        <w:t xml:space="preserve"> είναι φυσικά πρόσωπα, δεν ισχύουν οι περιορισμοί των </w:t>
      </w:r>
      <w:r w:rsidR="00107172" w:rsidRPr="000004E8">
        <w:rPr>
          <w:rFonts w:cstheme="minorHAnsi"/>
          <w:bCs/>
        </w:rPr>
        <w:t xml:space="preserve">παρ. </w:t>
      </w:r>
      <w:r w:rsidRPr="000004E8">
        <w:rPr>
          <w:rFonts w:cstheme="minorHAnsi"/>
          <w:bCs/>
        </w:rPr>
        <w:t>3β και 3δ, αλλά εφαρμόζ</w:t>
      </w:r>
      <w:r w:rsidR="00393710">
        <w:rPr>
          <w:rFonts w:cstheme="minorHAnsi"/>
          <w:bCs/>
        </w:rPr>
        <w:t>ον</w:t>
      </w:r>
      <w:r w:rsidRPr="000004E8">
        <w:rPr>
          <w:rFonts w:cstheme="minorHAnsi"/>
          <w:bCs/>
        </w:rPr>
        <w:t>ται μόνο η π</w:t>
      </w:r>
      <w:r w:rsidR="00B85813" w:rsidRPr="000004E8">
        <w:rPr>
          <w:rFonts w:cstheme="minorHAnsi"/>
          <w:bCs/>
        </w:rPr>
        <w:t>α</w:t>
      </w:r>
      <w:r w:rsidRPr="000004E8">
        <w:rPr>
          <w:rFonts w:cstheme="minorHAnsi"/>
          <w:bCs/>
        </w:rPr>
        <w:t>ρ</w:t>
      </w:r>
      <w:r w:rsidR="00B85813" w:rsidRPr="000004E8">
        <w:rPr>
          <w:rFonts w:cstheme="minorHAnsi"/>
          <w:bCs/>
        </w:rPr>
        <w:t>.</w:t>
      </w:r>
      <w:r w:rsidRPr="000004E8">
        <w:rPr>
          <w:rFonts w:cstheme="minorHAnsi"/>
          <w:bCs/>
        </w:rPr>
        <w:t xml:space="preserve"> 3γ</w:t>
      </w:r>
      <w:r w:rsidR="00393710">
        <w:rPr>
          <w:rFonts w:cstheme="minorHAnsi"/>
          <w:bCs/>
        </w:rPr>
        <w:t>,</w:t>
      </w:r>
      <w:r w:rsidRPr="000004E8">
        <w:rPr>
          <w:rFonts w:cstheme="minorHAnsi"/>
          <w:bCs/>
        </w:rPr>
        <w:t xml:space="preserve"> καθώς και το συνολικό όριο ισχύος της παρ.3α.</w:t>
      </w:r>
    </w:p>
    <w:p w14:paraId="1062F329" w14:textId="1A7C4983" w:rsidR="00AC1508" w:rsidRPr="000004E8" w:rsidRDefault="006724B1" w:rsidP="00BF52BC">
      <w:pPr>
        <w:spacing w:after="60" w:line="360" w:lineRule="auto"/>
        <w:jc w:val="both"/>
        <w:rPr>
          <w:rFonts w:cstheme="minorHAnsi"/>
          <w:bCs/>
        </w:rPr>
      </w:pPr>
      <w:r w:rsidRPr="000004E8">
        <w:rPr>
          <w:rFonts w:cstheme="minorHAnsi"/>
          <w:bCs/>
        </w:rPr>
        <w:lastRenderedPageBreak/>
        <w:t>3στ</w:t>
      </w:r>
      <w:r w:rsidR="00AD62A5" w:rsidRPr="000004E8">
        <w:rPr>
          <w:rFonts w:cstheme="minorHAnsi"/>
          <w:bCs/>
        </w:rPr>
        <w:t>. Ειδικά για φωτοβολταϊκούς σταθμούς που αναπτύσσονται στην Περιφέρεια Δυτικής Μακεδονίας, οι προθεσμίες που α</w:t>
      </w:r>
      <w:r w:rsidR="00520CA3" w:rsidRPr="000004E8">
        <w:rPr>
          <w:rFonts w:cstheme="minorHAnsi"/>
          <w:bCs/>
        </w:rPr>
        <w:t>ναγράφονται στις π</w:t>
      </w:r>
      <w:r w:rsidR="00B85813" w:rsidRPr="000004E8">
        <w:rPr>
          <w:rFonts w:cstheme="minorHAnsi"/>
          <w:bCs/>
        </w:rPr>
        <w:t>αρ.</w:t>
      </w:r>
      <w:r w:rsidR="00520CA3" w:rsidRPr="000004E8">
        <w:rPr>
          <w:rFonts w:cstheme="minorHAnsi"/>
          <w:bCs/>
        </w:rPr>
        <w:t xml:space="preserve"> 3β</w:t>
      </w:r>
      <w:r w:rsidRPr="000004E8">
        <w:rPr>
          <w:rFonts w:cstheme="minorHAnsi"/>
          <w:bCs/>
        </w:rPr>
        <w:t>, 3γ, 3δ κ</w:t>
      </w:r>
      <w:r w:rsidR="00520CA3" w:rsidRPr="000004E8">
        <w:rPr>
          <w:rFonts w:cstheme="minorHAnsi"/>
          <w:bCs/>
        </w:rPr>
        <w:t>αι</w:t>
      </w:r>
      <w:r w:rsidRPr="000004E8">
        <w:rPr>
          <w:rFonts w:cstheme="minorHAnsi"/>
          <w:bCs/>
        </w:rPr>
        <w:t xml:space="preserve"> 3ε</w:t>
      </w:r>
      <w:r w:rsidR="00AD62A5" w:rsidRPr="000004E8">
        <w:rPr>
          <w:rFonts w:cstheme="minorHAnsi"/>
          <w:bCs/>
        </w:rPr>
        <w:t xml:space="preserve"> </w:t>
      </w:r>
      <w:r w:rsidR="00520CA3" w:rsidRPr="000004E8">
        <w:rPr>
          <w:rFonts w:cstheme="minorHAnsi"/>
          <w:bCs/>
        </w:rPr>
        <w:t>παρατείνονται κατά</w:t>
      </w:r>
      <w:r w:rsidR="00AD62A5" w:rsidRPr="000004E8">
        <w:rPr>
          <w:rFonts w:cstheme="minorHAnsi"/>
          <w:bCs/>
        </w:rPr>
        <w:t xml:space="preserve"> ένα (1) έτος.</w:t>
      </w:r>
      <w:r w:rsidR="00237B23" w:rsidRPr="000004E8">
        <w:rPr>
          <w:rFonts w:cstheme="minorHAnsi"/>
          <w:bCs/>
        </w:rPr>
        <w:t>»</w:t>
      </w:r>
      <w:r w:rsidR="00094456" w:rsidRPr="000004E8">
        <w:rPr>
          <w:rFonts w:cstheme="minorHAnsi"/>
          <w:bCs/>
        </w:rPr>
        <w:t>.</w:t>
      </w:r>
    </w:p>
    <w:p w14:paraId="716AA06E" w14:textId="77777777" w:rsidR="00F130B5" w:rsidRPr="000004E8" w:rsidRDefault="00F130B5" w:rsidP="00311E01">
      <w:pPr>
        <w:spacing w:after="0" w:line="360" w:lineRule="auto"/>
        <w:jc w:val="both"/>
        <w:rPr>
          <w:rFonts w:eastAsia="Times New Roman" w:cstheme="minorHAnsi"/>
        </w:rPr>
      </w:pPr>
      <w:r w:rsidRPr="000004E8">
        <w:rPr>
          <w:rFonts w:cstheme="minorHAnsi"/>
          <w:bCs/>
        </w:rPr>
        <w:t xml:space="preserve">2. </w:t>
      </w:r>
      <w:r w:rsidRPr="000004E8">
        <w:rPr>
          <w:rFonts w:eastAsia="Times New Roman" w:cstheme="minorHAnsi"/>
        </w:rPr>
        <w:t>Στο άρθρο 2 του ν. 4513/2018 (Α’ 9) προστίθενται παρ. 5 και 6 ως εξής:</w:t>
      </w:r>
    </w:p>
    <w:p w14:paraId="2299993E" w14:textId="2B151DED" w:rsidR="00F130B5" w:rsidRPr="000004E8" w:rsidRDefault="00F130B5" w:rsidP="002D793B">
      <w:pPr>
        <w:spacing w:after="0" w:line="360" w:lineRule="auto"/>
        <w:jc w:val="both"/>
        <w:rPr>
          <w:rFonts w:eastAsia="Times New Roman" w:cstheme="minorHAnsi"/>
        </w:rPr>
      </w:pPr>
      <w:r w:rsidRPr="000004E8">
        <w:rPr>
          <w:rFonts w:eastAsia="Times New Roman" w:cstheme="minorHAnsi"/>
        </w:rPr>
        <w:t>«5. Μέλο</w:t>
      </w:r>
      <w:r w:rsidR="00B85813" w:rsidRPr="000004E8">
        <w:rPr>
          <w:rFonts w:eastAsia="Times New Roman" w:cstheme="minorHAnsi"/>
        </w:rPr>
        <w:t xml:space="preserve">ς </w:t>
      </w:r>
      <w:r w:rsidRPr="000004E8">
        <w:rPr>
          <w:rFonts w:eastAsia="Times New Roman" w:cstheme="minorHAnsi"/>
        </w:rPr>
        <w:t>Ε.</w:t>
      </w:r>
      <w:r w:rsidR="00B85813" w:rsidRPr="000004E8">
        <w:rPr>
          <w:rFonts w:eastAsia="Times New Roman" w:cstheme="minorHAnsi"/>
        </w:rPr>
        <w:t xml:space="preserve"> </w:t>
      </w:r>
      <w:r w:rsidRPr="000004E8">
        <w:rPr>
          <w:rFonts w:eastAsia="Times New Roman" w:cstheme="minorHAnsi"/>
        </w:rPr>
        <w:t xml:space="preserve">Κοιν. που έχει ως σκοπό την παραγωγή ηλεκτρικής ενέργειας από σταθμό </w:t>
      </w:r>
      <w:r w:rsidR="00B85813" w:rsidRPr="000004E8">
        <w:rPr>
          <w:rFonts w:cstheme="minorHAnsi"/>
        </w:rPr>
        <w:t>Ανανεώσιμ</w:t>
      </w:r>
      <w:r w:rsidR="00393710">
        <w:rPr>
          <w:rFonts w:cstheme="minorHAnsi"/>
        </w:rPr>
        <w:t>ών</w:t>
      </w:r>
      <w:r w:rsidR="00B85813" w:rsidRPr="000004E8">
        <w:rPr>
          <w:rFonts w:cstheme="minorHAnsi"/>
        </w:rPr>
        <w:t xml:space="preserve"> Πηγ</w:t>
      </w:r>
      <w:r w:rsidR="00393710">
        <w:rPr>
          <w:rFonts w:cstheme="minorHAnsi"/>
        </w:rPr>
        <w:t>ών</w:t>
      </w:r>
      <w:r w:rsidR="00B85813" w:rsidRPr="000004E8">
        <w:rPr>
          <w:rFonts w:cstheme="minorHAnsi"/>
        </w:rPr>
        <w:t xml:space="preserve"> Ενέργειας (Α.Π.Ε.) ή Συμπαραγωγής Ηλεκτρισμού – Θερμότητας Υψηλής Απόδοσης (Σ.Η.Θ.Υ.Α.) </w:t>
      </w:r>
      <w:r w:rsidRPr="000004E8">
        <w:rPr>
          <w:rFonts w:eastAsia="Times New Roman" w:cstheme="minorHAnsi"/>
        </w:rPr>
        <w:t>ή Υβριδικό Σταθμό, ο οποίος ενισχύεται μέσω Σύμβασης Λειτουργικής Ενίσχυσης, δεν δύναται να είναι μέλος σε άλλη Ενεργειακή Κοινότητα που δραστηριοποιείται στην ίδια Περιφέρεια και έχει τον παραπάνω σκοπό, με την επιφύλαξη της παρ. 4.</w:t>
      </w:r>
    </w:p>
    <w:p w14:paraId="7998ADF8" w14:textId="475C51F1" w:rsidR="00F130B5" w:rsidRPr="000004E8" w:rsidRDefault="00F130B5" w:rsidP="002D793B">
      <w:pPr>
        <w:spacing w:after="0" w:line="360" w:lineRule="auto"/>
        <w:jc w:val="both"/>
        <w:rPr>
          <w:rFonts w:eastAsia="Times New Roman" w:cstheme="minorHAnsi"/>
        </w:rPr>
      </w:pPr>
      <w:r w:rsidRPr="000004E8">
        <w:rPr>
          <w:rFonts w:eastAsia="Times New Roman" w:cstheme="minorHAnsi"/>
        </w:rPr>
        <w:t>6. Ε</w:t>
      </w:r>
      <w:r w:rsidR="00B85813" w:rsidRPr="000004E8">
        <w:rPr>
          <w:rFonts w:eastAsia="Times New Roman" w:cstheme="minorHAnsi"/>
        </w:rPr>
        <w:t xml:space="preserve">. </w:t>
      </w:r>
      <w:r w:rsidRPr="000004E8">
        <w:rPr>
          <w:rFonts w:eastAsia="Times New Roman" w:cstheme="minorHAnsi"/>
        </w:rPr>
        <w:t>Κοιν</w:t>
      </w:r>
      <w:r w:rsidR="00B85813" w:rsidRPr="000004E8">
        <w:rPr>
          <w:rFonts w:eastAsia="Times New Roman" w:cstheme="minorHAnsi"/>
        </w:rPr>
        <w:t>.</w:t>
      </w:r>
      <w:r w:rsidRPr="000004E8">
        <w:rPr>
          <w:rFonts w:eastAsia="Times New Roman" w:cstheme="minorHAnsi"/>
        </w:rPr>
        <w:t xml:space="preserve"> που έχουν συσταθεί με το</w:t>
      </w:r>
      <w:r w:rsidR="00393710">
        <w:rPr>
          <w:rFonts w:eastAsia="Times New Roman" w:cstheme="minorHAnsi"/>
        </w:rPr>
        <w:t>ν</w:t>
      </w:r>
      <w:r w:rsidRPr="000004E8">
        <w:rPr>
          <w:rFonts w:eastAsia="Times New Roman" w:cstheme="minorHAnsi"/>
        </w:rPr>
        <w:t xml:space="preserve"> σκοπό της παρ. 5 οφείλουν </w:t>
      </w:r>
      <w:r w:rsidR="000A5EE1" w:rsidRPr="000004E8">
        <w:rPr>
          <w:rFonts w:eastAsia="Times New Roman" w:cstheme="minorHAnsi"/>
        </w:rPr>
        <w:t xml:space="preserve">αμελλητί </w:t>
      </w:r>
      <w:r w:rsidRPr="000004E8">
        <w:rPr>
          <w:rFonts w:eastAsia="Times New Roman" w:cstheme="minorHAnsi"/>
        </w:rPr>
        <w:t xml:space="preserve">να τροποποιήσουν τη σύνθεση των μελών τους, ώστε τα μέλη τους να μην αποτελούν μέλη και </w:t>
      </w:r>
      <w:r w:rsidR="008435D7" w:rsidRPr="000004E8">
        <w:rPr>
          <w:rFonts w:eastAsia="Times New Roman" w:cstheme="minorHAnsi"/>
        </w:rPr>
        <w:t>άλλης</w:t>
      </w:r>
      <w:r w:rsidRPr="000004E8">
        <w:rPr>
          <w:rFonts w:eastAsia="Times New Roman" w:cstheme="minorHAnsi"/>
        </w:rPr>
        <w:t xml:space="preserve"> Ε.</w:t>
      </w:r>
      <w:r w:rsidR="00B85813" w:rsidRPr="000004E8">
        <w:rPr>
          <w:rFonts w:eastAsia="Times New Roman" w:cstheme="minorHAnsi"/>
        </w:rPr>
        <w:t xml:space="preserve"> </w:t>
      </w:r>
      <w:r w:rsidRPr="000004E8">
        <w:rPr>
          <w:rFonts w:eastAsia="Times New Roman" w:cstheme="minorHAnsi"/>
        </w:rPr>
        <w:t>Κοιν. που δραστηριοποιείται στην ίδια Περιφέρεια με τον ίδιο σκοπό</w:t>
      </w:r>
      <w:r w:rsidR="006E5818">
        <w:rPr>
          <w:rFonts w:eastAsia="Times New Roman" w:cstheme="minorHAnsi"/>
        </w:rPr>
        <w:t>,</w:t>
      </w:r>
      <w:r w:rsidRPr="000004E8">
        <w:rPr>
          <w:rFonts w:eastAsia="Times New Roman" w:cstheme="minorHAnsi"/>
          <w:b/>
        </w:rPr>
        <w:t xml:space="preserve"> </w:t>
      </w:r>
      <w:r w:rsidRPr="000004E8">
        <w:rPr>
          <w:rFonts w:eastAsia="Times New Roman" w:cstheme="minorHAnsi"/>
        </w:rPr>
        <w:t>ακόμη και σε περίπτωση αντίθετης πρόβλεψης του καταστατικού τους.</w:t>
      </w:r>
    </w:p>
    <w:p w14:paraId="71570A1D" w14:textId="034FAF68" w:rsidR="00F130B5" w:rsidRPr="000004E8" w:rsidRDefault="00F130B5" w:rsidP="00254F54">
      <w:pPr>
        <w:spacing w:after="0" w:line="360" w:lineRule="auto"/>
        <w:jc w:val="both"/>
        <w:rPr>
          <w:rFonts w:eastAsia="Times New Roman" w:cstheme="minorHAnsi"/>
          <w:bCs/>
        </w:rPr>
      </w:pPr>
      <w:r w:rsidRPr="000004E8">
        <w:rPr>
          <w:rFonts w:eastAsia="Times New Roman" w:cstheme="minorHAnsi"/>
        </w:rPr>
        <w:t>Εάν κατά τον έλεγχο εκκρεμών αιτημάτων χορήγησης προσφοράς σύνδεσης από Ε.</w:t>
      </w:r>
      <w:r w:rsidR="00B85813" w:rsidRPr="000004E8">
        <w:rPr>
          <w:rFonts w:eastAsia="Times New Roman" w:cstheme="minorHAnsi"/>
        </w:rPr>
        <w:t xml:space="preserve"> </w:t>
      </w:r>
      <w:r w:rsidRPr="000004E8">
        <w:rPr>
          <w:rFonts w:eastAsia="Times New Roman" w:cstheme="minorHAnsi"/>
        </w:rPr>
        <w:t>Κοιν., διαπιστωθεί από τον αρμόδιο Διαχειριστή ύπαρξη μελών ταυτόσημων με μέλη προϋφιστάμενης Ε.</w:t>
      </w:r>
      <w:r w:rsidR="00B85813" w:rsidRPr="000004E8">
        <w:rPr>
          <w:rFonts w:eastAsia="Times New Roman" w:cstheme="minorHAnsi"/>
        </w:rPr>
        <w:t xml:space="preserve"> </w:t>
      </w:r>
      <w:r w:rsidRPr="000004E8">
        <w:rPr>
          <w:rFonts w:eastAsia="Times New Roman" w:cstheme="minorHAnsi"/>
        </w:rPr>
        <w:t xml:space="preserve">Κοιν. που δραστηριοποιείται στην ίδια Περιφέρεια με τον ίδιο σκοπό, ως ημερομηνία υποβολής αίτησης χορήγησης οριστικής προσφοράς ορίζεται η ημερομηνία καταχώρησης της τροποποίησης του τροποποιημένου καταστατικού της στο </w:t>
      </w:r>
      <w:r w:rsidR="00B85813" w:rsidRPr="000004E8">
        <w:rPr>
          <w:rFonts w:eastAsia="Times New Roman" w:cstheme="minorHAnsi"/>
        </w:rPr>
        <w:t>Γενικό Εμπορικό Μητρώο (</w:t>
      </w:r>
      <w:r w:rsidRPr="000004E8">
        <w:rPr>
          <w:rFonts w:eastAsia="Times New Roman" w:cstheme="minorHAnsi"/>
        </w:rPr>
        <w:t>Γ.Ε.ΜΗ.</w:t>
      </w:r>
      <w:r w:rsidR="00B85813" w:rsidRPr="000004E8">
        <w:rPr>
          <w:rFonts w:eastAsia="Times New Roman" w:cstheme="minorHAnsi"/>
        </w:rPr>
        <w:t>)</w:t>
      </w:r>
      <w:r w:rsidRPr="000004E8">
        <w:rPr>
          <w:rFonts w:eastAsia="Times New Roman" w:cstheme="minorHAnsi"/>
        </w:rPr>
        <w:t>»</w:t>
      </w:r>
      <w:r w:rsidR="00B85813" w:rsidRPr="000004E8">
        <w:rPr>
          <w:rFonts w:eastAsia="Times New Roman" w:cstheme="minorHAnsi"/>
        </w:rPr>
        <w:t>.</w:t>
      </w:r>
    </w:p>
    <w:p w14:paraId="6701DA23" w14:textId="0DBF3866" w:rsidR="00F130B5" w:rsidRPr="000004E8" w:rsidRDefault="00F130B5" w:rsidP="00F357BF">
      <w:pPr>
        <w:spacing w:after="60" w:line="300" w:lineRule="auto"/>
        <w:jc w:val="both"/>
        <w:rPr>
          <w:rFonts w:cstheme="minorHAnsi"/>
          <w:bCs/>
        </w:rPr>
      </w:pPr>
    </w:p>
    <w:p w14:paraId="4C0C2895" w14:textId="77777777" w:rsidR="00680574" w:rsidRPr="000004E8" w:rsidRDefault="00680574" w:rsidP="00F357BF">
      <w:pPr>
        <w:spacing w:after="120" w:line="300" w:lineRule="auto"/>
        <w:jc w:val="center"/>
        <w:rPr>
          <w:rFonts w:cstheme="minorHAnsi"/>
          <w:b/>
        </w:rPr>
      </w:pPr>
    </w:p>
    <w:p w14:paraId="1F0B492C" w14:textId="743FBB95" w:rsidR="00E0471A" w:rsidRPr="000004E8" w:rsidRDefault="008D4A2B" w:rsidP="00F357BF">
      <w:pPr>
        <w:spacing w:after="120" w:line="300" w:lineRule="auto"/>
        <w:jc w:val="center"/>
        <w:rPr>
          <w:rFonts w:cstheme="minorHAnsi"/>
          <w:b/>
        </w:rPr>
      </w:pPr>
      <w:r w:rsidRPr="000004E8">
        <w:rPr>
          <w:rFonts w:cstheme="minorHAnsi"/>
          <w:b/>
        </w:rPr>
        <w:t>Άρθρο 7</w:t>
      </w:r>
    </w:p>
    <w:p w14:paraId="0F02EA17" w14:textId="5DBC8099" w:rsidR="00790861" w:rsidRPr="000004E8" w:rsidRDefault="00790861" w:rsidP="00F357BF">
      <w:pPr>
        <w:spacing w:after="120" w:line="300" w:lineRule="auto"/>
        <w:jc w:val="center"/>
        <w:rPr>
          <w:rFonts w:cstheme="minorHAnsi"/>
          <w:b/>
        </w:rPr>
      </w:pPr>
      <w:r w:rsidRPr="000004E8">
        <w:rPr>
          <w:rFonts w:cstheme="minorHAnsi"/>
          <w:b/>
        </w:rPr>
        <w:t>Κριτήρια Στρατηγικών Επενδύσεων στις ΑΠΕ - Τροποποίηση του άρθρου 10 του ν. 4608/2019</w:t>
      </w:r>
    </w:p>
    <w:p w14:paraId="7DDB32B1" w14:textId="290F2879" w:rsidR="00790861" w:rsidRPr="000004E8" w:rsidRDefault="00790861" w:rsidP="00F357BF">
      <w:pPr>
        <w:spacing w:after="60" w:line="300" w:lineRule="auto"/>
        <w:jc w:val="both"/>
        <w:rPr>
          <w:rFonts w:cstheme="minorHAnsi"/>
        </w:rPr>
      </w:pPr>
      <w:r w:rsidRPr="000004E8">
        <w:rPr>
          <w:rFonts w:cstheme="minorHAnsi"/>
        </w:rPr>
        <w:t>1.</w:t>
      </w:r>
      <w:r w:rsidR="003E18A7" w:rsidRPr="000004E8">
        <w:rPr>
          <w:rFonts w:cstheme="minorHAnsi"/>
        </w:rPr>
        <w:t xml:space="preserve"> </w:t>
      </w:r>
      <w:r w:rsidRPr="000004E8">
        <w:rPr>
          <w:rFonts w:cstheme="minorHAnsi"/>
        </w:rPr>
        <w:t>Στο άρθρο 10 του ν. 4608/2019 (Α΄</w:t>
      </w:r>
      <w:r w:rsidR="00465E28" w:rsidRPr="000004E8">
        <w:rPr>
          <w:rFonts w:cstheme="minorHAnsi"/>
        </w:rPr>
        <w:t xml:space="preserve"> </w:t>
      </w:r>
      <w:r w:rsidRPr="000004E8">
        <w:rPr>
          <w:rStyle w:val="a8"/>
          <w:rFonts w:cstheme="minorHAnsi"/>
          <w:b w:val="0"/>
        </w:rPr>
        <w:t>66</w:t>
      </w:r>
      <w:r w:rsidRPr="000004E8">
        <w:rPr>
          <w:rFonts w:cstheme="minorHAnsi"/>
        </w:rPr>
        <w:t>) προστίθεται παρ</w:t>
      </w:r>
      <w:r w:rsidR="00465E28" w:rsidRPr="000004E8">
        <w:rPr>
          <w:rFonts w:cstheme="minorHAnsi"/>
        </w:rPr>
        <w:t>.</w:t>
      </w:r>
      <w:r w:rsidRPr="000004E8">
        <w:rPr>
          <w:rFonts w:cstheme="minorHAnsi"/>
        </w:rPr>
        <w:t xml:space="preserve"> 4 ως εξής:</w:t>
      </w:r>
    </w:p>
    <w:p w14:paraId="37E055C7" w14:textId="4D396C8A" w:rsidR="00790861" w:rsidRPr="000004E8" w:rsidRDefault="00BF7CFA" w:rsidP="00F357BF">
      <w:pPr>
        <w:spacing w:after="60" w:line="300" w:lineRule="auto"/>
        <w:jc w:val="both"/>
        <w:rPr>
          <w:rFonts w:cstheme="minorHAnsi"/>
          <w:bCs/>
        </w:rPr>
      </w:pPr>
      <w:r w:rsidRPr="000004E8">
        <w:rPr>
          <w:rFonts w:cstheme="minorHAnsi"/>
        </w:rPr>
        <w:t>«</w:t>
      </w:r>
      <w:r w:rsidR="00790861" w:rsidRPr="000004E8">
        <w:rPr>
          <w:rFonts w:cstheme="minorHAnsi"/>
          <w:bCs/>
        </w:rPr>
        <w:t xml:space="preserve">4. Οι επενδύσεις σε μονάδες παραγωγής ηλεκτρικής ενέργειας από </w:t>
      </w:r>
      <w:r w:rsidR="00465E28" w:rsidRPr="000004E8">
        <w:rPr>
          <w:rFonts w:cstheme="minorHAnsi"/>
          <w:bCs/>
        </w:rPr>
        <w:t>Α</w:t>
      </w:r>
      <w:r w:rsidR="00790861" w:rsidRPr="000004E8">
        <w:rPr>
          <w:rFonts w:cstheme="minorHAnsi"/>
          <w:bCs/>
        </w:rPr>
        <w:t xml:space="preserve">νανεώσιμες </w:t>
      </w:r>
      <w:r w:rsidR="00465E28" w:rsidRPr="000004E8">
        <w:rPr>
          <w:rFonts w:cstheme="minorHAnsi"/>
          <w:bCs/>
        </w:rPr>
        <w:t>Π</w:t>
      </w:r>
      <w:r w:rsidR="00790861" w:rsidRPr="000004E8">
        <w:rPr>
          <w:rFonts w:cstheme="minorHAnsi"/>
          <w:bCs/>
        </w:rPr>
        <w:t xml:space="preserve">ηγές </w:t>
      </w:r>
      <w:r w:rsidR="00465E28" w:rsidRPr="000004E8">
        <w:rPr>
          <w:rFonts w:cstheme="minorHAnsi"/>
          <w:bCs/>
        </w:rPr>
        <w:t>Ε</w:t>
      </w:r>
      <w:r w:rsidR="00790861" w:rsidRPr="000004E8">
        <w:rPr>
          <w:rFonts w:cstheme="minorHAnsi"/>
          <w:bCs/>
        </w:rPr>
        <w:t>νέργειας (Α</w:t>
      </w:r>
      <w:r w:rsidR="00465E28" w:rsidRPr="000004E8">
        <w:rPr>
          <w:rFonts w:cstheme="minorHAnsi"/>
          <w:bCs/>
        </w:rPr>
        <w:t>.</w:t>
      </w:r>
      <w:r w:rsidR="00790861" w:rsidRPr="000004E8">
        <w:rPr>
          <w:rFonts w:cstheme="minorHAnsi"/>
          <w:bCs/>
        </w:rPr>
        <w:t>Π</w:t>
      </w:r>
      <w:r w:rsidR="00465E28" w:rsidRPr="000004E8">
        <w:rPr>
          <w:rFonts w:cstheme="minorHAnsi"/>
          <w:bCs/>
        </w:rPr>
        <w:t>.</w:t>
      </w:r>
      <w:r w:rsidR="00790861" w:rsidRPr="000004E8">
        <w:rPr>
          <w:rFonts w:cstheme="minorHAnsi"/>
          <w:bCs/>
        </w:rPr>
        <w:t>Ε</w:t>
      </w:r>
      <w:r w:rsidR="00465E28" w:rsidRPr="000004E8">
        <w:rPr>
          <w:rFonts w:cstheme="minorHAnsi"/>
          <w:bCs/>
        </w:rPr>
        <w:t>.</w:t>
      </w:r>
      <w:r w:rsidR="00790861" w:rsidRPr="000004E8">
        <w:rPr>
          <w:rFonts w:cstheme="minorHAnsi"/>
          <w:bCs/>
        </w:rPr>
        <w:t xml:space="preserve">) δεν χαρακτηρίζονται ως «Στρατηγικές Επενδύσεις» με την έννοια των </w:t>
      </w:r>
      <w:r w:rsidRPr="000004E8">
        <w:rPr>
          <w:rFonts w:cstheme="minorHAnsi"/>
          <w:bCs/>
        </w:rPr>
        <w:t>περ.</w:t>
      </w:r>
      <w:r w:rsidR="00702DE2" w:rsidRPr="000004E8">
        <w:rPr>
          <w:rFonts w:cstheme="minorHAnsi"/>
          <w:bCs/>
        </w:rPr>
        <w:t xml:space="preserve"> </w:t>
      </w:r>
      <w:r w:rsidR="00790861" w:rsidRPr="000004E8">
        <w:rPr>
          <w:rFonts w:cstheme="minorHAnsi"/>
          <w:bCs/>
        </w:rPr>
        <w:t xml:space="preserve">(α), (β), (γ) και (δ) της παρ. 2, εκτός εάν, σωρευτικά με τις επιμέρους προϋποθέσεις εκάστης των </w:t>
      </w:r>
      <w:r w:rsidRPr="000004E8">
        <w:rPr>
          <w:rFonts w:cstheme="minorHAnsi"/>
          <w:bCs/>
        </w:rPr>
        <w:t xml:space="preserve">περιπτώσεων </w:t>
      </w:r>
      <w:r w:rsidR="00790861" w:rsidRPr="000004E8">
        <w:rPr>
          <w:rFonts w:cstheme="minorHAnsi"/>
          <w:bCs/>
        </w:rPr>
        <w:t>της παρ. 2, εμπίπτουν και σε μία από τις παρακάτω</w:t>
      </w:r>
      <w:r w:rsidR="00465E28" w:rsidRPr="000004E8">
        <w:rPr>
          <w:rFonts w:cstheme="minorHAnsi"/>
          <w:bCs/>
        </w:rPr>
        <w:t xml:space="preserve"> περιπτώσεις</w:t>
      </w:r>
      <w:r w:rsidR="00790861" w:rsidRPr="000004E8">
        <w:rPr>
          <w:rFonts w:cstheme="minorHAnsi"/>
          <w:bCs/>
        </w:rPr>
        <w:t>:</w:t>
      </w:r>
    </w:p>
    <w:p w14:paraId="344776A8" w14:textId="6429D63A" w:rsidR="00790861" w:rsidRPr="000004E8" w:rsidRDefault="00790861" w:rsidP="00F357BF">
      <w:pPr>
        <w:spacing w:after="60" w:line="300" w:lineRule="auto"/>
        <w:jc w:val="both"/>
        <w:rPr>
          <w:rFonts w:cstheme="minorHAnsi"/>
          <w:bCs/>
        </w:rPr>
      </w:pPr>
      <w:r w:rsidRPr="000004E8">
        <w:rPr>
          <w:rFonts w:cstheme="minorHAnsi"/>
          <w:bCs/>
        </w:rPr>
        <w:t>(α) Αποτελούν έργα καινοτόμων εφαρμογών και τεχνολογιών που αξιοποιούν ενεργειακές τεχνολογίες και εφαρμογές για την ενίσχυση της παραγωγής ηλεκτρικής ενέργειας από Α.Π.Ε.,</w:t>
      </w:r>
      <w:r w:rsidR="00393710">
        <w:rPr>
          <w:rFonts w:cstheme="minorHAnsi"/>
          <w:bCs/>
        </w:rPr>
        <w:t xml:space="preserve"> </w:t>
      </w:r>
      <w:r w:rsidRPr="000004E8">
        <w:rPr>
          <w:rFonts w:cstheme="minorHAnsi"/>
          <w:bCs/>
        </w:rPr>
        <w:t xml:space="preserve">που έχουν προϋπολογισμό κατ’ ελάχιστον </w:t>
      </w:r>
      <w:r w:rsidR="00A9284F" w:rsidRPr="000004E8">
        <w:rPr>
          <w:rFonts w:cstheme="minorHAnsi"/>
          <w:bCs/>
        </w:rPr>
        <w:t xml:space="preserve">πενήντα </w:t>
      </w:r>
      <w:r w:rsidR="00AC1897" w:rsidRPr="000004E8">
        <w:rPr>
          <w:rFonts w:cstheme="minorHAnsi"/>
          <w:bCs/>
        </w:rPr>
        <w:t>εκατομμύρια (5</w:t>
      </w:r>
      <w:r w:rsidRPr="000004E8">
        <w:rPr>
          <w:rFonts w:cstheme="minorHAnsi"/>
          <w:bCs/>
        </w:rPr>
        <w:t>0.000.000) ευρώ και κοινό σημείο σύνδεσης στο Εθνικό Σύστημα Μεταφοράς Ηλεκτρικής Ενέργειας.</w:t>
      </w:r>
      <w:r w:rsidR="003E18A7" w:rsidRPr="000004E8">
        <w:rPr>
          <w:rFonts w:cstheme="minorHAnsi"/>
          <w:bCs/>
        </w:rPr>
        <w:t xml:space="preserve"> </w:t>
      </w:r>
    </w:p>
    <w:p w14:paraId="349FC9D2" w14:textId="64713A21" w:rsidR="00790861" w:rsidRPr="000004E8" w:rsidRDefault="00790861" w:rsidP="00F357BF">
      <w:pPr>
        <w:spacing w:after="60" w:line="300" w:lineRule="auto"/>
        <w:jc w:val="both"/>
        <w:rPr>
          <w:rFonts w:cstheme="minorHAnsi"/>
          <w:bCs/>
        </w:rPr>
      </w:pPr>
      <w:r w:rsidRPr="000004E8">
        <w:rPr>
          <w:rFonts w:cstheme="minorHAnsi"/>
          <w:bCs/>
        </w:rPr>
        <w:t xml:space="preserve">Για το χαρακτηρισμό ενός έργου ως καινοτόμου και την εξέτασή του για ένταξη στο καθεστώς Στρατηγικών Επενδύσεων η επενδυτική πρόταση </w:t>
      </w:r>
      <w:r w:rsidR="00A9284F" w:rsidRPr="000004E8">
        <w:rPr>
          <w:rFonts w:cstheme="minorHAnsi"/>
          <w:bCs/>
        </w:rPr>
        <w:t>αφορά έργα</w:t>
      </w:r>
      <w:r w:rsidRPr="000004E8">
        <w:rPr>
          <w:rFonts w:cstheme="minorHAnsi"/>
          <w:bCs/>
        </w:rPr>
        <w:t xml:space="preserve"> που </w:t>
      </w:r>
      <w:r w:rsidR="00A9284F" w:rsidRPr="000004E8">
        <w:rPr>
          <w:rFonts w:cstheme="minorHAnsi"/>
          <w:bCs/>
        </w:rPr>
        <w:t>χρησιμοποιούν</w:t>
      </w:r>
      <w:r w:rsidR="00702DE2" w:rsidRPr="000004E8">
        <w:rPr>
          <w:rFonts w:cstheme="minorHAnsi"/>
          <w:bCs/>
        </w:rPr>
        <w:t xml:space="preserve"> </w:t>
      </w:r>
      <w:r w:rsidRPr="000004E8">
        <w:rPr>
          <w:rFonts w:cstheme="minorHAnsi"/>
          <w:bCs/>
        </w:rPr>
        <w:t xml:space="preserve">μια από τις παρακάτω τεχνολογίες: </w:t>
      </w:r>
    </w:p>
    <w:p w14:paraId="710E5F5E" w14:textId="340C53B3" w:rsidR="00790861" w:rsidRPr="000004E8" w:rsidRDefault="00790861" w:rsidP="00F357BF">
      <w:pPr>
        <w:spacing w:after="60" w:line="300" w:lineRule="auto"/>
        <w:ind w:firstLine="720"/>
        <w:jc w:val="both"/>
        <w:rPr>
          <w:rFonts w:cstheme="minorHAnsi"/>
          <w:bCs/>
        </w:rPr>
      </w:pPr>
      <w:r w:rsidRPr="000004E8">
        <w:rPr>
          <w:rFonts w:cstheme="minorHAnsi"/>
          <w:bCs/>
        </w:rPr>
        <w:lastRenderedPageBreak/>
        <w:t xml:space="preserve">(αα) </w:t>
      </w:r>
      <w:r w:rsidR="00393710">
        <w:rPr>
          <w:rFonts w:cstheme="minorHAnsi"/>
          <w:bCs/>
        </w:rPr>
        <w:t>συστημάτων</w:t>
      </w:r>
      <w:r w:rsidR="00393710" w:rsidRPr="000004E8">
        <w:rPr>
          <w:rFonts w:cstheme="minorHAnsi"/>
          <w:bCs/>
        </w:rPr>
        <w:t xml:space="preserve"> </w:t>
      </w:r>
      <w:r w:rsidRPr="000004E8">
        <w:rPr>
          <w:rFonts w:cstheme="minorHAnsi"/>
          <w:bCs/>
        </w:rPr>
        <w:t xml:space="preserve">αποθήκευσης ηλεκτρικής ενέργειας, </w:t>
      </w:r>
    </w:p>
    <w:p w14:paraId="4F6D906F" w14:textId="77777777" w:rsidR="00790861" w:rsidRPr="000004E8" w:rsidRDefault="00790861" w:rsidP="00F357BF">
      <w:pPr>
        <w:spacing w:after="60" w:line="300" w:lineRule="auto"/>
        <w:ind w:firstLine="720"/>
        <w:jc w:val="both"/>
        <w:rPr>
          <w:rFonts w:cstheme="minorHAnsi"/>
          <w:bCs/>
        </w:rPr>
      </w:pPr>
      <w:r w:rsidRPr="000004E8">
        <w:rPr>
          <w:rFonts w:cstheme="minorHAnsi"/>
          <w:bCs/>
        </w:rPr>
        <w:t xml:space="preserve">(ββ) παραγωγής «πράσινου» υδρογόνου, </w:t>
      </w:r>
    </w:p>
    <w:p w14:paraId="394AD2C2" w14:textId="3786E0A0" w:rsidR="00790861" w:rsidRPr="000004E8" w:rsidRDefault="00790861" w:rsidP="00F357BF">
      <w:pPr>
        <w:spacing w:after="60" w:line="300" w:lineRule="auto"/>
        <w:ind w:firstLine="720"/>
        <w:jc w:val="both"/>
        <w:rPr>
          <w:rFonts w:cstheme="minorHAnsi"/>
          <w:bCs/>
        </w:rPr>
      </w:pPr>
      <w:r w:rsidRPr="000004E8">
        <w:rPr>
          <w:rFonts w:cstheme="minorHAnsi"/>
          <w:bCs/>
        </w:rPr>
        <w:t xml:space="preserve">(γγ) εγκατάστασης θαλάσσιων αιολικών </w:t>
      </w:r>
      <w:r w:rsidR="00696AE0" w:rsidRPr="000004E8">
        <w:rPr>
          <w:rFonts w:cstheme="minorHAnsi"/>
          <w:bCs/>
        </w:rPr>
        <w:t xml:space="preserve">και </w:t>
      </w:r>
      <w:r w:rsidR="00374515" w:rsidRPr="000004E8">
        <w:rPr>
          <w:rFonts w:cstheme="minorHAnsi"/>
          <w:bCs/>
        </w:rPr>
        <w:t xml:space="preserve">πλωτών </w:t>
      </w:r>
      <w:r w:rsidR="00696AE0" w:rsidRPr="000004E8">
        <w:rPr>
          <w:rFonts w:cstheme="minorHAnsi"/>
          <w:bCs/>
        </w:rPr>
        <w:t xml:space="preserve">φωτοβολταϊκών </w:t>
      </w:r>
      <w:r w:rsidRPr="000004E8">
        <w:rPr>
          <w:rFonts w:cstheme="minorHAnsi"/>
          <w:bCs/>
        </w:rPr>
        <w:t xml:space="preserve">πάρκων, </w:t>
      </w:r>
    </w:p>
    <w:p w14:paraId="06842D8E" w14:textId="4570D23B" w:rsidR="00790861" w:rsidRPr="000004E8" w:rsidRDefault="00790861" w:rsidP="00F357BF">
      <w:pPr>
        <w:spacing w:after="60" w:line="300" w:lineRule="auto"/>
        <w:ind w:firstLine="720"/>
        <w:jc w:val="both"/>
        <w:rPr>
          <w:rFonts w:cstheme="minorHAnsi"/>
          <w:bCs/>
        </w:rPr>
      </w:pPr>
      <w:r w:rsidRPr="000004E8">
        <w:rPr>
          <w:rFonts w:cstheme="minorHAnsi"/>
          <w:bCs/>
        </w:rPr>
        <w:t xml:space="preserve">(δδ) έργων Α.Π.Ε. που διασυνδέουν </w:t>
      </w:r>
      <w:r w:rsidR="00E725DB" w:rsidRPr="000004E8">
        <w:rPr>
          <w:rFonts w:cstheme="minorHAnsi"/>
          <w:bCs/>
        </w:rPr>
        <w:t xml:space="preserve">περιοχές της </w:t>
      </w:r>
      <w:r w:rsidR="00074EE8" w:rsidRPr="000004E8">
        <w:rPr>
          <w:rFonts w:cstheme="minorHAnsi"/>
          <w:bCs/>
        </w:rPr>
        <w:t>επικράτειας</w:t>
      </w:r>
      <w:r w:rsidR="003E18A7" w:rsidRPr="000004E8">
        <w:rPr>
          <w:rFonts w:cstheme="minorHAnsi"/>
          <w:bCs/>
        </w:rPr>
        <w:t xml:space="preserve"> </w:t>
      </w:r>
      <w:r w:rsidRPr="000004E8">
        <w:rPr>
          <w:rFonts w:cstheme="minorHAnsi"/>
          <w:bCs/>
        </w:rPr>
        <w:t xml:space="preserve">με το Εθνικό Σύστημα Μεταφοράς Ηλεκτρικής Ενέργειας μέσω υποβρύχιου καλωδίου, </w:t>
      </w:r>
    </w:p>
    <w:p w14:paraId="54C65ADD" w14:textId="143DF8BA" w:rsidR="00074EE8" w:rsidRPr="000004E8" w:rsidRDefault="00790861" w:rsidP="00F357BF">
      <w:pPr>
        <w:spacing w:after="60" w:line="300" w:lineRule="auto"/>
        <w:ind w:firstLine="720"/>
        <w:jc w:val="both"/>
        <w:rPr>
          <w:rFonts w:cstheme="minorHAnsi"/>
          <w:iCs/>
        </w:rPr>
      </w:pPr>
      <w:r w:rsidRPr="000004E8">
        <w:rPr>
          <w:rFonts w:cstheme="minorHAnsi"/>
          <w:bCs/>
        </w:rPr>
        <w:t xml:space="preserve">(εε) έργων Α.Π.Ε. πλήρως ελεγχόμενης ηλεκτροπαραγωγής, </w:t>
      </w:r>
      <w:r w:rsidRPr="000004E8">
        <w:rPr>
          <w:rFonts w:cstheme="minorHAnsi"/>
          <w:iCs/>
        </w:rPr>
        <w:t>σύμφωνα με την π</w:t>
      </w:r>
      <w:r w:rsidR="00702DE2" w:rsidRPr="000004E8">
        <w:rPr>
          <w:rFonts w:cstheme="minorHAnsi"/>
          <w:iCs/>
        </w:rPr>
        <w:t>α</w:t>
      </w:r>
      <w:r w:rsidRPr="000004E8">
        <w:rPr>
          <w:rFonts w:cstheme="minorHAnsi"/>
          <w:iCs/>
        </w:rPr>
        <w:t>ρ. 14 του άρθρου 2 του ν. 4414/2016 (Α’ 149)</w:t>
      </w:r>
      <w:r w:rsidR="00074EE8" w:rsidRPr="000004E8">
        <w:rPr>
          <w:rFonts w:cstheme="minorHAnsi"/>
          <w:iCs/>
        </w:rPr>
        <w:t>,</w:t>
      </w:r>
    </w:p>
    <w:p w14:paraId="17D4423B" w14:textId="57F3D1B1" w:rsidR="00790861" w:rsidRPr="000004E8" w:rsidRDefault="00074EE8" w:rsidP="00F357BF">
      <w:pPr>
        <w:spacing w:after="60" w:line="300" w:lineRule="auto"/>
        <w:ind w:firstLine="720"/>
        <w:jc w:val="both"/>
        <w:rPr>
          <w:rFonts w:cstheme="minorHAnsi"/>
          <w:iCs/>
        </w:rPr>
      </w:pPr>
      <w:r w:rsidRPr="000004E8">
        <w:rPr>
          <w:rFonts w:cstheme="minorHAnsi"/>
          <w:iCs/>
        </w:rPr>
        <w:t>(στστ) υβριδικ</w:t>
      </w:r>
      <w:r w:rsidR="00393710">
        <w:rPr>
          <w:rFonts w:cstheme="minorHAnsi"/>
          <w:iCs/>
        </w:rPr>
        <w:t>ών</w:t>
      </w:r>
      <w:r w:rsidRPr="000004E8">
        <w:rPr>
          <w:rFonts w:cstheme="minorHAnsi"/>
          <w:iCs/>
        </w:rPr>
        <w:t xml:space="preserve"> έργα ηλεκτροπαραγωγής από Α.Π.Ε. σε </w:t>
      </w:r>
      <w:r w:rsidR="00465E28" w:rsidRPr="000004E8">
        <w:rPr>
          <w:rFonts w:cstheme="minorHAnsi"/>
          <w:iCs/>
        </w:rPr>
        <w:t>Μ</w:t>
      </w:r>
      <w:r w:rsidRPr="000004E8">
        <w:rPr>
          <w:rFonts w:cstheme="minorHAnsi"/>
          <w:iCs/>
        </w:rPr>
        <w:t xml:space="preserve">η </w:t>
      </w:r>
      <w:r w:rsidR="00465E28" w:rsidRPr="000004E8">
        <w:rPr>
          <w:rFonts w:cstheme="minorHAnsi"/>
          <w:iCs/>
        </w:rPr>
        <w:t>Δ</w:t>
      </w:r>
      <w:r w:rsidRPr="000004E8">
        <w:rPr>
          <w:rFonts w:cstheme="minorHAnsi"/>
          <w:iCs/>
        </w:rPr>
        <w:t xml:space="preserve">ιασυνδεδεμένα </w:t>
      </w:r>
      <w:r w:rsidR="00465E28" w:rsidRPr="000004E8">
        <w:rPr>
          <w:rFonts w:cstheme="minorHAnsi"/>
          <w:iCs/>
        </w:rPr>
        <w:t>Ν</w:t>
      </w:r>
      <w:r w:rsidRPr="000004E8">
        <w:rPr>
          <w:rFonts w:cstheme="minorHAnsi"/>
          <w:iCs/>
        </w:rPr>
        <w:t>ησιά</w:t>
      </w:r>
      <w:r w:rsidR="00465E28" w:rsidRPr="000004E8">
        <w:rPr>
          <w:rFonts w:cstheme="minorHAnsi"/>
          <w:iCs/>
        </w:rPr>
        <w:t xml:space="preserve"> (ΜΔΝ)</w:t>
      </w:r>
      <w:r w:rsidR="00790861" w:rsidRPr="000004E8">
        <w:rPr>
          <w:rFonts w:cstheme="minorHAnsi"/>
          <w:iCs/>
        </w:rPr>
        <w:t>.</w:t>
      </w:r>
    </w:p>
    <w:p w14:paraId="44FD9A44" w14:textId="10DDA67E" w:rsidR="00890038" w:rsidRPr="000004E8" w:rsidRDefault="00890038" w:rsidP="00F357BF">
      <w:pPr>
        <w:spacing w:after="60" w:line="300" w:lineRule="auto"/>
        <w:jc w:val="both"/>
        <w:rPr>
          <w:rFonts w:cstheme="minorHAnsi"/>
          <w:iCs/>
        </w:rPr>
      </w:pPr>
      <w:r w:rsidRPr="000004E8">
        <w:rPr>
          <w:rFonts w:cstheme="minorHAnsi"/>
          <w:bCs/>
        </w:rPr>
        <w:t>Για την εφαρμογή της παρούσας</w:t>
      </w:r>
      <w:r w:rsidR="00A9284F" w:rsidRPr="000004E8">
        <w:rPr>
          <w:rFonts w:cstheme="minorHAnsi"/>
          <w:bCs/>
        </w:rPr>
        <w:t xml:space="preserve"> περίπτωσης</w:t>
      </w:r>
      <w:r w:rsidRPr="000004E8">
        <w:rPr>
          <w:rFonts w:cstheme="minorHAnsi"/>
          <w:bCs/>
        </w:rPr>
        <w:t xml:space="preserve">, προκειμένου ένα έργο να χαρακτηριστεί </w:t>
      </w:r>
      <w:r w:rsidRPr="000004E8">
        <w:rPr>
          <w:rFonts w:cstheme="minorHAnsi"/>
          <w:iCs/>
        </w:rPr>
        <w:t>ως καινοτόμο, η Ελληνική Εταιρεία Επενδύσεων κ</w:t>
      </w:r>
      <w:r w:rsidR="00393710">
        <w:rPr>
          <w:rFonts w:cstheme="minorHAnsi"/>
          <w:iCs/>
        </w:rPr>
        <w:t>α</w:t>
      </w:r>
      <w:r w:rsidRPr="000004E8">
        <w:rPr>
          <w:rFonts w:cstheme="minorHAnsi"/>
          <w:iCs/>
        </w:rPr>
        <w:t xml:space="preserve">ι Εξωτερικού Εμπορίου Α.Ε. αποστέλλει σχετικό αίτημα προς </w:t>
      </w:r>
      <w:r w:rsidR="00AB2073" w:rsidRPr="000004E8">
        <w:rPr>
          <w:rFonts w:cstheme="minorHAnsi"/>
          <w:iCs/>
        </w:rPr>
        <w:t>το Υπουργείο Περιβάλλοντος και Ενέργειας, το οποίο</w:t>
      </w:r>
      <w:r w:rsidRPr="000004E8">
        <w:rPr>
          <w:rFonts w:cstheme="minorHAnsi"/>
          <w:iCs/>
        </w:rPr>
        <w:t xml:space="preserve"> οφείλει να απαντήσει στο εν λόγω αίτημα εντός προθεσμίας </w:t>
      </w:r>
      <w:r w:rsidR="00F931C6" w:rsidRPr="000004E8">
        <w:rPr>
          <w:rFonts w:cstheme="minorHAnsi"/>
          <w:iCs/>
        </w:rPr>
        <w:t>δεκα</w:t>
      </w:r>
      <w:r w:rsidRPr="000004E8">
        <w:rPr>
          <w:rFonts w:cstheme="minorHAnsi"/>
          <w:iCs/>
        </w:rPr>
        <w:t xml:space="preserve">πέντε </w:t>
      </w:r>
      <w:r w:rsidR="00F931C6" w:rsidRPr="000004E8">
        <w:rPr>
          <w:rFonts w:cstheme="minorHAnsi"/>
          <w:iCs/>
        </w:rPr>
        <w:t xml:space="preserve">(15) </w:t>
      </w:r>
      <w:r w:rsidRPr="000004E8">
        <w:rPr>
          <w:rFonts w:cstheme="minorHAnsi"/>
          <w:iCs/>
        </w:rPr>
        <w:t>ημερών από την παραλαβή του αιτήματος.</w:t>
      </w:r>
    </w:p>
    <w:p w14:paraId="5013EB75" w14:textId="0E08567A" w:rsidR="00790861" w:rsidRPr="000004E8" w:rsidRDefault="00790861" w:rsidP="00F357BF">
      <w:pPr>
        <w:spacing w:after="60" w:line="300" w:lineRule="auto"/>
        <w:jc w:val="both"/>
        <w:rPr>
          <w:rFonts w:cstheme="minorHAnsi"/>
          <w:bCs/>
        </w:rPr>
      </w:pPr>
      <w:r w:rsidRPr="000004E8">
        <w:rPr>
          <w:rFonts w:cstheme="minorHAnsi"/>
          <w:bCs/>
        </w:rPr>
        <w:t>(β) Αποτελούν έργα Α.Π.Ε. που έχουν προϋπολογισμό κατ’ ελάχιστον εκατό εκατομμ</w:t>
      </w:r>
      <w:r w:rsidR="002876FD" w:rsidRPr="000004E8">
        <w:rPr>
          <w:rFonts w:cstheme="minorHAnsi"/>
          <w:bCs/>
        </w:rPr>
        <w:t xml:space="preserve">υρίων </w:t>
      </w:r>
      <w:r w:rsidRPr="000004E8">
        <w:rPr>
          <w:rFonts w:cstheme="minorHAnsi"/>
          <w:bCs/>
        </w:rPr>
        <w:t xml:space="preserve"> (100.000.000) ευρώ και κοινό σημείο σύνδεσης στο Εθνικό Σύστημα Μεταφοράς Ηλεκτρικής Ενέργειας. </w:t>
      </w:r>
    </w:p>
    <w:p w14:paraId="273CCFA8" w14:textId="6D29DA46" w:rsidR="00790861" w:rsidRPr="000004E8" w:rsidRDefault="00790861" w:rsidP="00F357BF">
      <w:pPr>
        <w:spacing w:after="60" w:line="300" w:lineRule="auto"/>
        <w:jc w:val="both"/>
        <w:rPr>
          <w:rFonts w:cstheme="minorHAnsi"/>
          <w:iCs/>
        </w:rPr>
      </w:pPr>
      <w:r w:rsidRPr="000004E8">
        <w:rPr>
          <w:rFonts w:cstheme="minorHAnsi"/>
          <w:iCs/>
        </w:rPr>
        <w:t>Για έργα Α</w:t>
      </w:r>
      <w:r w:rsidR="002876FD" w:rsidRPr="000004E8">
        <w:rPr>
          <w:rFonts w:cstheme="minorHAnsi"/>
          <w:iCs/>
        </w:rPr>
        <w:t>.</w:t>
      </w:r>
      <w:r w:rsidRPr="000004E8">
        <w:rPr>
          <w:rFonts w:cstheme="minorHAnsi"/>
          <w:iCs/>
        </w:rPr>
        <w:t>Π</w:t>
      </w:r>
      <w:r w:rsidR="002876FD" w:rsidRPr="000004E8">
        <w:rPr>
          <w:rFonts w:cstheme="minorHAnsi"/>
          <w:iCs/>
        </w:rPr>
        <w:t>.</w:t>
      </w:r>
      <w:r w:rsidRPr="000004E8">
        <w:rPr>
          <w:rFonts w:cstheme="minorHAnsi"/>
          <w:iCs/>
        </w:rPr>
        <w:t>Ε</w:t>
      </w:r>
      <w:r w:rsidR="002876FD" w:rsidRPr="000004E8">
        <w:rPr>
          <w:rFonts w:cstheme="minorHAnsi"/>
          <w:iCs/>
        </w:rPr>
        <w:t>.</w:t>
      </w:r>
      <w:r w:rsidRPr="000004E8">
        <w:rPr>
          <w:rFonts w:cstheme="minorHAnsi"/>
          <w:iCs/>
        </w:rPr>
        <w:t xml:space="preserve"> που λαμβάνουν το κίνητρο </w:t>
      </w:r>
      <w:r w:rsidRPr="000004E8">
        <w:rPr>
          <w:rFonts w:cstheme="minorHAnsi"/>
          <w:bCs/>
        </w:rPr>
        <w:t xml:space="preserve">ταχείας αδειοδότησης του άρθρου 13, </w:t>
      </w:r>
      <w:r w:rsidRPr="000004E8">
        <w:rPr>
          <w:rFonts w:cstheme="minorHAnsi"/>
          <w:iCs/>
        </w:rPr>
        <w:t>η οριστική προσφορά σύνδεσης δεν χορηγείται κατά προτεραιότητα έναντι λοιπών αιτήσεων.</w:t>
      </w:r>
    </w:p>
    <w:p w14:paraId="62F725F0" w14:textId="4AE56B33" w:rsidR="00790861" w:rsidRPr="000004E8" w:rsidRDefault="00890038" w:rsidP="00F357BF">
      <w:pPr>
        <w:spacing w:after="60" w:line="300" w:lineRule="auto"/>
        <w:jc w:val="both"/>
        <w:rPr>
          <w:rFonts w:cstheme="minorHAnsi"/>
          <w:iCs/>
        </w:rPr>
      </w:pPr>
      <w:r w:rsidRPr="000004E8">
        <w:rPr>
          <w:rFonts w:cstheme="minorHAnsi"/>
          <w:iCs/>
        </w:rPr>
        <w:t>Για την εφαρμογή της παρούσας</w:t>
      </w:r>
      <w:r w:rsidR="00E71D2B" w:rsidRPr="000004E8">
        <w:rPr>
          <w:rFonts w:cstheme="minorHAnsi"/>
          <w:iCs/>
        </w:rPr>
        <w:t xml:space="preserve"> περίπτωσης</w:t>
      </w:r>
      <w:r w:rsidRPr="000004E8">
        <w:rPr>
          <w:rFonts w:cstheme="minorHAnsi"/>
          <w:iCs/>
        </w:rPr>
        <w:t xml:space="preserve">, προκειμένου να εξακριβωθεί εάν το έργο πληροί </w:t>
      </w:r>
      <w:r w:rsidR="00790861" w:rsidRPr="000004E8">
        <w:rPr>
          <w:rFonts w:cstheme="minorHAnsi"/>
          <w:iCs/>
        </w:rPr>
        <w:t xml:space="preserve">το κριτήριο του κοινού σημείου σύνδεσης </w:t>
      </w:r>
      <w:r w:rsidR="00790861" w:rsidRPr="000004E8">
        <w:rPr>
          <w:rFonts w:cstheme="minorHAnsi"/>
          <w:bCs/>
        </w:rPr>
        <w:t>στο Εθνικό Σύστημα Μεταφοράς Ηλεκτρικής Ενέργειας</w:t>
      </w:r>
      <w:r w:rsidR="00790861" w:rsidRPr="000004E8">
        <w:rPr>
          <w:rFonts w:cstheme="minorHAnsi"/>
          <w:iCs/>
        </w:rPr>
        <w:t xml:space="preserve">, </w:t>
      </w:r>
      <w:r w:rsidR="004E2B46" w:rsidRPr="000004E8">
        <w:rPr>
          <w:rFonts w:cstheme="minorHAnsi"/>
          <w:iCs/>
        </w:rPr>
        <w:t>η</w:t>
      </w:r>
      <w:r w:rsidR="00790861" w:rsidRPr="000004E8">
        <w:rPr>
          <w:rFonts w:cstheme="minorHAnsi"/>
          <w:iCs/>
        </w:rPr>
        <w:t xml:space="preserve"> Ελληνική Εταιρεία Επενδύσεων και Εξωτερικού Εμπορίου Α.Ε. </w:t>
      </w:r>
      <w:r w:rsidR="004E2B46" w:rsidRPr="000004E8">
        <w:rPr>
          <w:rFonts w:cstheme="minorHAnsi"/>
          <w:iCs/>
        </w:rPr>
        <w:t>ζητά τ</w:t>
      </w:r>
      <w:r w:rsidR="00790861" w:rsidRPr="000004E8">
        <w:rPr>
          <w:rFonts w:cstheme="minorHAnsi"/>
          <w:iCs/>
        </w:rPr>
        <w:t>η γνώμη του αρμόδιου διαχειριστή</w:t>
      </w:r>
      <w:r w:rsidR="004E2B46" w:rsidRPr="000004E8">
        <w:rPr>
          <w:rFonts w:cstheme="minorHAnsi"/>
          <w:iCs/>
        </w:rPr>
        <w:t xml:space="preserve">, ο οποίος οφείλει να απαντήσει εντός προθεσμίας </w:t>
      </w:r>
      <w:r w:rsidR="00CC69BD" w:rsidRPr="000004E8">
        <w:rPr>
          <w:rFonts w:cstheme="minorHAnsi"/>
          <w:iCs/>
        </w:rPr>
        <w:t>δεκαπέντε (15)</w:t>
      </w:r>
      <w:r w:rsidR="00485F37" w:rsidRPr="000004E8">
        <w:rPr>
          <w:rFonts w:cstheme="minorHAnsi"/>
          <w:iCs/>
        </w:rPr>
        <w:t xml:space="preserve"> </w:t>
      </w:r>
      <w:r w:rsidR="004E2B46" w:rsidRPr="000004E8">
        <w:rPr>
          <w:rFonts w:cstheme="minorHAnsi"/>
          <w:iCs/>
        </w:rPr>
        <w:t>ημερών από την παραλαβή του αιτήματος</w:t>
      </w:r>
      <w:r w:rsidR="00790861" w:rsidRPr="000004E8">
        <w:rPr>
          <w:rFonts w:cstheme="minorHAnsi"/>
          <w:iCs/>
        </w:rPr>
        <w:t>.</w:t>
      </w:r>
      <w:r w:rsidR="004E2B46" w:rsidRPr="000004E8">
        <w:rPr>
          <w:rFonts w:cstheme="minorHAnsi"/>
          <w:iCs/>
        </w:rPr>
        <w:t>»</w:t>
      </w:r>
      <w:r w:rsidR="00485F37" w:rsidRPr="000004E8">
        <w:rPr>
          <w:rFonts w:cstheme="minorHAnsi"/>
          <w:iCs/>
        </w:rPr>
        <w:t>.</w:t>
      </w:r>
    </w:p>
    <w:p w14:paraId="3E775416" w14:textId="153A0BA2" w:rsidR="00790861" w:rsidRPr="000004E8" w:rsidRDefault="00790861" w:rsidP="00F357BF">
      <w:pPr>
        <w:spacing w:after="60" w:line="300" w:lineRule="auto"/>
        <w:jc w:val="both"/>
        <w:rPr>
          <w:rFonts w:cstheme="minorHAnsi"/>
          <w:bCs/>
          <w:iCs/>
        </w:rPr>
      </w:pPr>
      <w:r w:rsidRPr="000004E8">
        <w:rPr>
          <w:rFonts w:cstheme="minorHAnsi"/>
          <w:bCs/>
          <w:iCs/>
        </w:rPr>
        <w:t xml:space="preserve">2. Επενδύσεις </w:t>
      </w:r>
      <w:r w:rsidRPr="000004E8">
        <w:rPr>
          <w:rFonts w:cstheme="minorHAnsi"/>
          <w:bCs/>
        </w:rPr>
        <w:t>σε μονάδες παραγωγής ηλεκτρικής ενέργειας από</w:t>
      </w:r>
      <w:r w:rsidR="00465E28" w:rsidRPr="000004E8">
        <w:rPr>
          <w:rFonts w:cstheme="minorHAnsi"/>
          <w:bCs/>
        </w:rPr>
        <w:t xml:space="preserve"> </w:t>
      </w:r>
      <w:r w:rsidRPr="000004E8">
        <w:rPr>
          <w:rFonts w:cstheme="minorHAnsi"/>
          <w:bCs/>
        </w:rPr>
        <w:t>Α</w:t>
      </w:r>
      <w:r w:rsidR="00485F37" w:rsidRPr="000004E8">
        <w:rPr>
          <w:rFonts w:cstheme="minorHAnsi"/>
          <w:bCs/>
        </w:rPr>
        <w:t>.</w:t>
      </w:r>
      <w:r w:rsidRPr="000004E8">
        <w:rPr>
          <w:rFonts w:cstheme="minorHAnsi"/>
          <w:bCs/>
        </w:rPr>
        <w:t>Π</w:t>
      </w:r>
      <w:r w:rsidR="00485F37" w:rsidRPr="000004E8">
        <w:rPr>
          <w:rFonts w:cstheme="minorHAnsi"/>
          <w:bCs/>
        </w:rPr>
        <w:t>.</w:t>
      </w:r>
      <w:r w:rsidRPr="000004E8">
        <w:rPr>
          <w:rFonts w:cstheme="minorHAnsi"/>
          <w:bCs/>
        </w:rPr>
        <w:t>Ε</w:t>
      </w:r>
      <w:r w:rsidR="00485F37" w:rsidRPr="000004E8">
        <w:rPr>
          <w:rFonts w:cstheme="minorHAnsi"/>
          <w:bCs/>
        </w:rPr>
        <w:t>.</w:t>
      </w:r>
      <w:r w:rsidR="00AC2F36" w:rsidRPr="000004E8">
        <w:rPr>
          <w:rFonts w:cstheme="minorHAnsi"/>
          <w:bCs/>
        </w:rPr>
        <w:t xml:space="preserve">, </w:t>
      </w:r>
      <w:r w:rsidRPr="000004E8">
        <w:rPr>
          <w:rFonts w:cstheme="minorHAnsi"/>
          <w:bCs/>
          <w:iCs/>
        </w:rPr>
        <w:t xml:space="preserve">για τις οποίες έχει υποβληθεί αίτηση για </w:t>
      </w:r>
      <w:r w:rsidR="001475A5" w:rsidRPr="000004E8">
        <w:rPr>
          <w:rFonts w:cstheme="minorHAnsi"/>
          <w:bCs/>
          <w:iCs/>
        </w:rPr>
        <w:t xml:space="preserve">τον </w:t>
      </w:r>
      <w:r w:rsidRPr="000004E8">
        <w:rPr>
          <w:rFonts w:cstheme="minorHAnsi"/>
          <w:bCs/>
          <w:iCs/>
        </w:rPr>
        <w:t xml:space="preserve">χαρακτηρισμό </w:t>
      </w:r>
      <w:r w:rsidR="00485F37" w:rsidRPr="000004E8">
        <w:rPr>
          <w:rFonts w:cstheme="minorHAnsi"/>
          <w:bCs/>
          <w:iCs/>
        </w:rPr>
        <w:t xml:space="preserve">τους </w:t>
      </w:r>
      <w:r w:rsidRPr="000004E8">
        <w:rPr>
          <w:rFonts w:cstheme="minorHAnsi"/>
          <w:bCs/>
          <w:iCs/>
        </w:rPr>
        <w:t>ως Στρατηγικ</w:t>
      </w:r>
      <w:r w:rsidR="00485F37" w:rsidRPr="000004E8">
        <w:rPr>
          <w:rFonts w:cstheme="minorHAnsi"/>
          <w:bCs/>
          <w:iCs/>
        </w:rPr>
        <w:t>ών</w:t>
      </w:r>
      <w:r w:rsidRPr="000004E8">
        <w:rPr>
          <w:rFonts w:cstheme="minorHAnsi"/>
          <w:bCs/>
          <w:iCs/>
        </w:rPr>
        <w:t xml:space="preserve"> Επενδύσε</w:t>
      </w:r>
      <w:r w:rsidR="00485F37" w:rsidRPr="000004E8">
        <w:rPr>
          <w:rFonts w:cstheme="minorHAnsi"/>
          <w:bCs/>
          <w:iCs/>
        </w:rPr>
        <w:t>ων</w:t>
      </w:r>
      <w:r w:rsidRPr="000004E8">
        <w:rPr>
          <w:rFonts w:cstheme="minorHAnsi"/>
          <w:bCs/>
          <w:iCs/>
        </w:rPr>
        <w:t xml:space="preserve"> και κατά την έναρξη ισχύος του παρόντος δεν έχει δημοσιευθεί η απόφαση της παρ. 1 του άρθρου 19 του ν. 4608/2019, δύνανται να υπαχθούν στο καθεστώς Στρατηγικών Επενδύσεων, </w:t>
      </w:r>
      <w:r w:rsidR="00B767A0" w:rsidRPr="000004E8">
        <w:rPr>
          <w:rFonts w:cstheme="minorHAnsi"/>
          <w:bCs/>
          <w:iCs/>
        </w:rPr>
        <w:t xml:space="preserve">ακόμα και εάν δεν </w:t>
      </w:r>
      <w:r w:rsidR="005618F9" w:rsidRPr="000004E8">
        <w:rPr>
          <w:rFonts w:cstheme="minorHAnsi"/>
          <w:bCs/>
          <w:iCs/>
        </w:rPr>
        <w:t xml:space="preserve">πληρούν τα κριτήρια της παρ. 1, </w:t>
      </w:r>
      <w:r w:rsidRPr="000004E8">
        <w:rPr>
          <w:rFonts w:cstheme="minorHAnsi"/>
          <w:bCs/>
          <w:iCs/>
        </w:rPr>
        <w:t xml:space="preserve">χωρίς </w:t>
      </w:r>
      <w:r w:rsidR="00194C24" w:rsidRPr="000004E8">
        <w:rPr>
          <w:rFonts w:cstheme="minorHAnsi"/>
          <w:bCs/>
          <w:iCs/>
        </w:rPr>
        <w:t xml:space="preserve">στην περίπτωση αυτή </w:t>
      </w:r>
      <w:r w:rsidRPr="000004E8">
        <w:rPr>
          <w:rFonts w:cstheme="minorHAnsi"/>
          <w:bCs/>
          <w:iCs/>
        </w:rPr>
        <w:t>να τους χορηγείται κατά προτεραιότητα η οριστική προσφορά σύνδεσ</w:t>
      </w:r>
      <w:r w:rsidR="00485F37" w:rsidRPr="000004E8">
        <w:rPr>
          <w:rFonts w:cstheme="minorHAnsi"/>
          <w:bCs/>
          <w:iCs/>
        </w:rPr>
        <w:t>η</w:t>
      </w:r>
      <w:r w:rsidRPr="000004E8">
        <w:rPr>
          <w:rFonts w:cstheme="minorHAnsi"/>
          <w:bCs/>
          <w:iCs/>
        </w:rPr>
        <w:t xml:space="preserve">ς έναντι λοιπών αιτήσεων, σύμφωνα με το κίνητρο </w:t>
      </w:r>
      <w:r w:rsidR="00485F37" w:rsidRPr="000004E8">
        <w:rPr>
          <w:rFonts w:cstheme="minorHAnsi"/>
          <w:bCs/>
          <w:iCs/>
        </w:rPr>
        <w:t>τ</w:t>
      </w:r>
      <w:r w:rsidRPr="000004E8">
        <w:rPr>
          <w:rFonts w:cstheme="minorHAnsi"/>
          <w:bCs/>
          <w:iCs/>
        </w:rPr>
        <w:t xml:space="preserve">αχείας </w:t>
      </w:r>
      <w:r w:rsidR="00485F37" w:rsidRPr="000004E8">
        <w:rPr>
          <w:rFonts w:cstheme="minorHAnsi"/>
          <w:bCs/>
          <w:iCs/>
        </w:rPr>
        <w:t>α</w:t>
      </w:r>
      <w:r w:rsidRPr="000004E8">
        <w:rPr>
          <w:rFonts w:cstheme="minorHAnsi"/>
          <w:bCs/>
          <w:iCs/>
        </w:rPr>
        <w:t>δειοδότησης του άρθρου 13 του ν. 4608/2019.</w:t>
      </w:r>
    </w:p>
    <w:p w14:paraId="23B93F06" w14:textId="79564E0A" w:rsidR="00D03DB7" w:rsidRPr="000004E8" w:rsidRDefault="00D03DB7" w:rsidP="00F357BF">
      <w:pPr>
        <w:spacing w:after="0" w:line="300" w:lineRule="auto"/>
        <w:jc w:val="both"/>
        <w:rPr>
          <w:rFonts w:cstheme="minorHAnsi"/>
          <w:bCs/>
          <w:iCs/>
        </w:rPr>
      </w:pPr>
    </w:p>
    <w:p w14:paraId="7EFCC127" w14:textId="77777777" w:rsidR="00725835" w:rsidRPr="000004E8" w:rsidRDefault="00725835" w:rsidP="00F357BF">
      <w:pPr>
        <w:spacing w:after="0" w:line="300" w:lineRule="auto"/>
        <w:jc w:val="both"/>
        <w:rPr>
          <w:rFonts w:cstheme="minorHAnsi"/>
          <w:bCs/>
          <w:iCs/>
        </w:rPr>
      </w:pPr>
    </w:p>
    <w:p w14:paraId="14B37E9C" w14:textId="77777777" w:rsidR="00F437C2" w:rsidRPr="000004E8" w:rsidRDefault="008D4A2B" w:rsidP="00F357BF">
      <w:pPr>
        <w:spacing w:after="120" w:line="300" w:lineRule="auto"/>
        <w:jc w:val="center"/>
        <w:rPr>
          <w:rFonts w:cstheme="minorHAnsi"/>
          <w:b/>
        </w:rPr>
      </w:pPr>
      <w:r w:rsidRPr="000004E8">
        <w:rPr>
          <w:rFonts w:cstheme="minorHAnsi"/>
          <w:b/>
        </w:rPr>
        <w:t>Άρθρο 8</w:t>
      </w:r>
    </w:p>
    <w:p w14:paraId="450CDE58" w14:textId="77777777" w:rsidR="00F437C2" w:rsidRPr="000004E8" w:rsidRDefault="00F437C2" w:rsidP="00F357BF">
      <w:pPr>
        <w:spacing w:after="120" w:line="300" w:lineRule="auto"/>
        <w:jc w:val="center"/>
        <w:rPr>
          <w:rFonts w:cstheme="minorHAnsi"/>
          <w:b/>
        </w:rPr>
      </w:pPr>
      <w:r w:rsidRPr="000004E8">
        <w:rPr>
          <w:rFonts w:cstheme="minorHAnsi"/>
          <w:b/>
        </w:rPr>
        <w:t>Αύξηση ορίου ισχύος σταθμών ενεργειακού συμψηφισμού -</w:t>
      </w:r>
    </w:p>
    <w:p w14:paraId="19BAAE3D" w14:textId="1A4185E5" w:rsidR="00F437C2" w:rsidRPr="000004E8" w:rsidRDefault="00F437C2" w:rsidP="00F357BF">
      <w:pPr>
        <w:spacing w:after="120" w:line="300" w:lineRule="auto"/>
        <w:jc w:val="center"/>
        <w:rPr>
          <w:rFonts w:cstheme="minorHAnsi"/>
          <w:b/>
        </w:rPr>
      </w:pPr>
      <w:r w:rsidRPr="000004E8">
        <w:rPr>
          <w:rFonts w:cstheme="minorHAnsi"/>
          <w:b/>
        </w:rPr>
        <w:t>Τροποποίηση άρθρου 14α του ν. 3468/2006</w:t>
      </w:r>
    </w:p>
    <w:p w14:paraId="29BB0C97" w14:textId="79A7AE35" w:rsidR="00F437C2" w:rsidRPr="000004E8" w:rsidRDefault="001475A5" w:rsidP="00F357BF">
      <w:pPr>
        <w:spacing w:after="60" w:line="300" w:lineRule="auto"/>
        <w:jc w:val="both"/>
        <w:rPr>
          <w:rFonts w:eastAsia="Times New Roman" w:cstheme="minorHAnsi"/>
          <w:lang w:eastAsia="el-GR"/>
        </w:rPr>
      </w:pPr>
      <w:r w:rsidRPr="000004E8">
        <w:rPr>
          <w:rFonts w:eastAsia="Times New Roman" w:cstheme="minorHAnsi"/>
          <w:lang w:eastAsia="el-GR"/>
        </w:rPr>
        <w:t xml:space="preserve">Το </w:t>
      </w:r>
      <w:r w:rsidR="00B126D1" w:rsidRPr="000004E8">
        <w:rPr>
          <w:rFonts w:eastAsia="Times New Roman" w:cstheme="minorHAnsi"/>
          <w:lang w:eastAsia="el-GR"/>
        </w:rPr>
        <w:t>έκτο και το έβδομο</w:t>
      </w:r>
      <w:r w:rsidRPr="000004E8">
        <w:rPr>
          <w:rFonts w:eastAsia="Times New Roman" w:cstheme="minorHAnsi"/>
          <w:lang w:eastAsia="el-GR"/>
        </w:rPr>
        <w:t xml:space="preserve"> εδάφιο της παρ. </w:t>
      </w:r>
      <w:r w:rsidR="00F437C2" w:rsidRPr="000004E8">
        <w:rPr>
          <w:rFonts w:eastAsia="Times New Roman" w:cstheme="minorHAnsi"/>
          <w:lang w:eastAsia="el-GR"/>
        </w:rPr>
        <w:t>1 του άρθρου 14</w:t>
      </w:r>
      <w:r w:rsidRPr="000004E8">
        <w:rPr>
          <w:rFonts w:eastAsia="Times New Roman" w:cstheme="minorHAnsi"/>
          <w:lang w:eastAsia="el-GR"/>
        </w:rPr>
        <w:t>α</w:t>
      </w:r>
      <w:r w:rsidRPr="000004E8">
        <w:rPr>
          <w:rFonts w:eastAsia="Times New Roman" w:cstheme="minorHAnsi"/>
          <w:vertAlign w:val="superscript"/>
          <w:lang w:eastAsia="el-GR"/>
        </w:rPr>
        <w:t xml:space="preserve"> </w:t>
      </w:r>
      <w:r w:rsidR="00F437C2" w:rsidRPr="000004E8">
        <w:rPr>
          <w:rFonts w:eastAsia="Times New Roman" w:cstheme="minorHAnsi"/>
          <w:lang w:eastAsia="el-GR"/>
        </w:rPr>
        <w:t xml:space="preserve"> του ν. 3468/2006 (Α’ 129) </w:t>
      </w:r>
      <w:r w:rsidR="0065227C" w:rsidRPr="000004E8">
        <w:rPr>
          <w:rFonts w:eastAsia="Times New Roman" w:cstheme="minorHAnsi"/>
          <w:lang w:eastAsia="el-GR"/>
        </w:rPr>
        <w:t>αντικαθίστα</w:t>
      </w:r>
      <w:r w:rsidR="00FF1E4A" w:rsidRPr="000004E8">
        <w:rPr>
          <w:rFonts w:eastAsia="Times New Roman" w:cstheme="minorHAnsi"/>
          <w:lang w:eastAsia="el-GR"/>
        </w:rPr>
        <w:t>ν</w:t>
      </w:r>
      <w:r w:rsidR="0065227C" w:rsidRPr="000004E8">
        <w:rPr>
          <w:rFonts w:eastAsia="Times New Roman" w:cstheme="minorHAnsi"/>
          <w:lang w:eastAsia="el-GR"/>
        </w:rPr>
        <w:t>ται</w:t>
      </w:r>
      <w:r w:rsidR="00F437C2" w:rsidRPr="000004E8">
        <w:rPr>
          <w:rFonts w:eastAsia="Times New Roman" w:cstheme="minorHAnsi"/>
          <w:lang w:eastAsia="el-GR"/>
        </w:rPr>
        <w:t xml:space="preserve"> ως εξής:</w:t>
      </w:r>
    </w:p>
    <w:p w14:paraId="7AFB762C" w14:textId="538925C8" w:rsidR="00FF1E4A" w:rsidRPr="000004E8" w:rsidRDefault="0065227C" w:rsidP="00F5512B">
      <w:pPr>
        <w:pStyle w:val="Web"/>
        <w:shd w:val="clear" w:color="auto" w:fill="FFFFFF"/>
        <w:spacing w:before="0" w:beforeAutospacing="0" w:after="60" w:afterAutospacing="0" w:line="300" w:lineRule="auto"/>
        <w:jc w:val="both"/>
      </w:pPr>
      <w:r w:rsidRPr="000004E8">
        <w:rPr>
          <w:rFonts w:asciiTheme="minorHAnsi" w:hAnsiTheme="minorHAnsi" w:cstheme="minorHAnsi"/>
          <w:bCs/>
          <w:iCs/>
          <w:sz w:val="22"/>
          <w:szCs w:val="22"/>
        </w:rPr>
        <w:lastRenderedPageBreak/>
        <w:t>«</w:t>
      </w:r>
      <w:r w:rsidR="00EC3232" w:rsidRPr="000004E8">
        <w:rPr>
          <w:rFonts w:asciiTheme="minorHAnsi" w:hAnsiTheme="minorHAnsi" w:cstheme="minorHAnsi"/>
          <w:sz w:val="22"/>
          <w:szCs w:val="22"/>
        </w:rPr>
        <w:t>Με την ανωτέρω υπουργική απόφαση είναι δυνατόν να τίθενται, με μέγιστο όριο τα 3 Μ</w:t>
      </w:r>
      <w:r w:rsidR="00EE063E" w:rsidRPr="000004E8">
        <w:rPr>
          <w:rFonts w:asciiTheme="minorHAnsi" w:hAnsiTheme="minorHAnsi" w:cstheme="minorHAnsi"/>
          <w:sz w:val="22"/>
          <w:szCs w:val="22"/>
          <w:lang w:val="en-US"/>
        </w:rPr>
        <w:t>W</w:t>
      </w:r>
      <w:r w:rsidR="00EC3232" w:rsidRPr="000004E8">
        <w:rPr>
          <w:rFonts w:asciiTheme="minorHAnsi" w:hAnsiTheme="minorHAnsi" w:cstheme="minorHAnsi"/>
          <w:sz w:val="22"/>
          <w:szCs w:val="22"/>
        </w:rPr>
        <w:t xml:space="preserve"> για τους σταθμούς Α.Π.Ε. και Σ.Η.Θ.Υ.Α., ανώτατα όρια εγκατεστημένης ισχύος διαφοροποιημ</w:t>
      </w:r>
      <w:r w:rsidR="006E5818">
        <w:rPr>
          <w:rFonts w:asciiTheme="minorHAnsi" w:hAnsiTheme="minorHAnsi" w:cstheme="minorHAnsi"/>
          <w:sz w:val="22"/>
          <w:szCs w:val="22"/>
        </w:rPr>
        <w:t xml:space="preserve">ένα ανά κατηγορία παραγωγών </w:t>
      </w:r>
      <w:r w:rsidR="00EC3232" w:rsidRPr="000004E8">
        <w:rPr>
          <w:rFonts w:asciiTheme="minorHAnsi" w:hAnsiTheme="minorHAnsi" w:cstheme="minorHAnsi"/>
          <w:sz w:val="22"/>
          <w:szCs w:val="22"/>
        </w:rPr>
        <w:t>και ανά ηλεκτρικό σύστημα διασυνδεδεμένο ή αυτόνομο.</w:t>
      </w:r>
      <w:r w:rsidR="00EC3232" w:rsidRPr="000004E8">
        <w:t xml:space="preserve"> </w:t>
      </w:r>
    </w:p>
    <w:p w14:paraId="37F36A67" w14:textId="341DC6BF" w:rsidR="00F437C2" w:rsidRPr="000004E8" w:rsidRDefault="00F437C2" w:rsidP="00F5512B">
      <w:pPr>
        <w:pStyle w:val="Web"/>
        <w:shd w:val="clear" w:color="auto" w:fill="FFFFFF"/>
        <w:spacing w:before="0" w:beforeAutospacing="0" w:after="60" w:afterAutospacing="0" w:line="300" w:lineRule="auto"/>
        <w:jc w:val="both"/>
        <w:rPr>
          <w:rFonts w:asciiTheme="minorHAnsi" w:hAnsiTheme="minorHAnsi" w:cstheme="minorHAnsi"/>
          <w:bCs/>
          <w:color w:val="000000"/>
          <w:sz w:val="22"/>
          <w:szCs w:val="22"/>
        </w:rPr>
      </w:pPr>
      <w:r w:rsidRPr="000004E8">
        <w:rPr>
          <w:rFonts w:asciiTheme="minorHAnsi" w:hAnsiTheme="minorHAnsi" w:cstheme="minorHAnsi"/>
          <w:bCs/>
          <w:iCs/>
          <w:sz w:val="22"/>
          <w:szCs w:val="22"/>
        </w:rPr>
        <w:t xml:space="preserve">Κατά παρέκκλιση των ανωτέρω, ειδικά για σταθμούς Α.Π.Ε. και Σ.Η.ΘΥ.Α. και συστήματα αποθήκευσης ηλεκτρικής ενέργειας του νομικού προσώπου του </w:t>
      </w:r>
      <w:r w:rsidR="00A921C1" w:rsidRPr="000004E8">
        <w:rPr>
          <w:rFonts w:asciiTheme="minorHAnsi" w:hAnsiTheme="minorHAnsi" w:cstheme="minorHAnsi"/>
          <w:bCs/>
          <w:iCs/>
          <w:sz w:val="22"/>
          <w:szCs w:val="22"/>
        </w:rPr>
        <w:t>κ</w:t>
      </w:r>
      <w:r w:rsidRPr="000004E8">
        <w:rPr>
          <w:rFonts w:asciiTheme="minorHAnsi" w:hAnsiTheme="minorHAnsi" w:cstheme="minorHAnsi"/>
          <w:bCs/>
          <w:iCs/>
          <w:sz w:val="22"/>
          <w:szCs w:val="22"/>
        </w:rPr>
        <w:t xml:space="preserve">ράτους ή νομικών προσώπων δημοσίου ή ιδιωτικού δικαίου που επιδιώκουν σκοπούς δημοσίου ενδιαφέροντος, γενικής ή τοπικής εμβέλειας, </w:t>
      </w:r>
      <w:r w:rsidR="008E14AD" w:rsidRPr="000004E8">
        <w:rPr>
          <w:rFonts w:asciiTheme="minorHAnsi" w:hAnsiTheme="minorHAnsi" w:cstheme="minorHAnsi"/>
          <w:bCs/>
          <w:iCs/>
          <w:sz w:val="22"/>
          <w:szCs w:val="22"/>
        </w:rPr>
        <w:t xml:space="preserve">οι οποίοι εγκαθίστανται στο Διασυνδεδεμένο Σύστημα ή στη νήσο Κρήτη </w:t>
      </w:r>
      <w:r w:rsidRPr="000004E8">
        <w:rPr>
          <w:rFonts w:asciiTheme="minorHAnsi" w:hAnsiTheme="minorHAnsi" w:cstheme="minorHAnsi"/>
          <w:bCs/>
          <w:sz w:val="22"/>
          <w:szCs w:val="22"/>
        </w:rPr>
        <w:t>επιτρέπεται η εγκατάστασή τους με εφαρμογή ενεργειακού συμψηφισμού, με μέγιστη ισχύ παραγωγής των σταθμών Α</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Π</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Ε</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 xml:space="preserve"> και Σ</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Η</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Θ</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Υ</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Α</w:t>
      </w:r>
      <w:r w:rsidR="00A921C1" w:rsidRPr="000004E8">
        <w:rPr>
          <w:rFonts w:asciiTheme="minorHAnsi" w:hAnsiTheme="minorHAnsi" w:cstheme="minorHAnsi"/>
          <w:bCs/>
          <w:sz w:val="22"/>
          <w:szCs w:val="22"/>
        </w:rPr>
        <w:t>.</w:t>
      </w:r>
      <w:r w:rsidRPr="000004E8">
        <w:rPr>
          <w:rFonts w:asciiTheme="minorHAnsi" w:hAnsiTheme="minorHAnsi" w:cstheme="minorHAnsi"/>
          <w:bCs/>
          <w:sz w:val="22"/>
          <w:szCs w:val="22"/>
        </w:rPr>
        <w:t xml:space="preserve"> ίση με το </w:t>
      </w:r>
      <w:r w:rsidRPr="000004E8">
        <w:rPr>
          <w:rFonts w:asciiTheme="minorHAnsi" w:hAnsiTheme="minorHAnsi" w:cstheme="minorHAnsi"/>
          <w:bCs/>
          <w:color w:val="000000"/>
          <w:sz w:val="22"/>
          <w:szCs w:val="22"/>
        </w:rPr>
        <w:t>100% της συμφωνημένης ισχύος κατανάλωσης και</w:t>
      </w:r>
      <w:r w:rsidR="00D67004"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 xml:space="preserve"> στην περίπτωση που υπάρχει σύστημα αποθήκευσης</w:t>
      </w:r>
      <w:r w:rsidR="00D67004" w:rsidRPr="000004E8">
        <w:rPr>
          <w:rFonts w:asciiTheme="minorHAnsi" w:hAnsiTheme="minorHAnsi" w:cstheme="minorHAnsi"/>
          <w:bCs/>
          <w:color w:val="000000"/>
          <w:sz w:val="22"/>
          <w:szCs w:val="22"/>
        </w:rPr>
        <w:t>,</w:t>
      </w:r>
      <w:r w:rsidR="00725835" w:rsidRPr="000004E8">
        <w:rPr>
          <w:rFonts w:asciiTheme="minorHAnsi" w:hAnsiTheme="minorHAnsi" w:cstheme="minorHAnsi"/>
          <w:bCs/>
          <w:color w:val="000000"/>
          <w:sz w:val="22"/>
          <w:szCs w:val="22"/>
        </w:rPr>
        <w:t xml:space="preserve"> </w:t>
      </w:r>
      <w:r w:rsidR="00A921C1" w:rsidRPr="000004E8">
        <w:rPr>
          <w:rFonts w:asciiTheme="minorHAnsi" w:hAnsiTheme="minorHAnsi" w:cstheme="minorHAnsi"/>
          <w:bCs/>
          <w:color w:val="000000"/>
          <w:sz w:val="22"/>
          <w:szCs w:val="22"/>
        </w:rPr>
        <w:t xml:space="preserve">με </w:t>
      </w:r>
      <w:r w:rsidRPr="000004E8">
        <w:rPr>
          <w:rFonts w:asciiTheme="minorHAnsi" w:hAnsiTheme="minorHAnsi" w:cstheme="minorHAnsi"/>
          <w:bCs/>
          <w:sz w:val="22"/>
          <w:szCs w:val="22"/>
        </w:rPr>
        <w:t xml:space="preserve">μέγιστη </w:t>
      </w:r>
      <w:r w:rsidRPr="000004E8">
        <w:rPr>
          <w:rFonts w:asciiTheme="minorHAnsi" w:hAnsiTheme="minorHAnsi" w:cstheme="minorHAnsi"/>
          <w:bCs/>
          <w:color w:val="000000"/>
          <w:sz w:val="22"/>
          <w:szCs w:val="22"/>
        </w:rPr>
        <w:t>ονομαστική ισχύ του μετατροπέα του συστήματος αποθήκευσης (σε ΚVA) ίση με την ονομαστική ισχύ του σταθμού παραγωγής Α</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Π</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Ε</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 xml:space="preserve"> και Σ</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Η</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Θ</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Υ</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Α</w:t>
      </w:r>
      <w:r w:rsidR="00A921C1" w:rsidRPr="000004E8">
        <w:rPr>
          <w:rFonts w:asciiTheme="minorHAnsi" w:hAnsiTheme="minorHAnsi" w:cstheme="minorHAnsi"/>
          <w:bCs/>
          <w:color w:val="000000"/>
          <w:sz w:val="22"/>
          <w:szCs w:val="22"/>
        </w:rPr>
        <w:t>.</w:t>
      </w:r>
      <w:r w:rsidRPr="000004E8">
        <w:rPr>
          <w:rFonts w:asciiTheme="minorHAnsi" w:hAnsiTheme="minorHAnsi" w:cstheme="minorHAnsi"/>
          <w:bCs/>
          <w:color w:val="000000"/>
          <w:sz w:val="22"/>
          <w:szCs w:val="22"/>
        </w:rPr>
        <w:t xml:space="preserve"> (σε kW).</w:t>
      </w:r>
      <w:r w:rsidR="002D3BB1" w:rsidRPr="000004E8">
        <w:rPr>
          <w:rFonts w:asciiTheme="minorHAnsi" w:hAnsiTheme="minorHAnsi" w:cstheme="minorHAnsi"/>
          <w:bCs/>
          <w:color w:val="000000"/>
          <w:sz w:val="22"/>
          <w:szCs w:val="22"/>
        </w:rPr>
        <w:t>»</w:t>
      </w:r>
    </w:p>
    <w:p w14:paraId="15B6A4A7" w14:textId="77777777" w:rsidR="00F437C2" w:rsidRPr="000004E8" w:rsidRDefault="00F437C2" w:rsidP="00F357BF">
      <w:pPr>
        <w:spacing w:line="300" w:lineRule="auto"/>
        <w:jc w:val="both"/>
        <w:rPr>
          <w:rFonts w:cstheme="minorHAnsi"/>
          <w:lang w:eastAsia="el-GR"/>
        </w:rPr>
      </w:pPr>
    </w:p>
    <w:p w14:paraId="1AD7685F" w14:textId="77777777" w:rsidR="00DA289D" w:rsidRPr="000004E8" w:rsidRDefault="008D4A2B" w:rsidP="00F357BF">
      <w:pPr>
        <w:spacing w:after="120" w:line="300" w:lineRule="auto"/>
        <w:jc w:val="center"/>
        <w:rPr>
          <w:rFonts w:cstheme="minorHAnsi"/>
          <w:b/>
        </w:rPr>
      </w:pPr>
      <w:r w:rsidRPr="000004E8">
        <w:rPr>
          <w:rFonts w:cstheme="minorHAnsi"/>
          <w:b/>
        </w:rPr>
        <w:t>Άρθρο 9</w:t>
      </w:r>
    </w:p>
    <w:p w14:paraId="54CBC5D9" w14:textId="7C7AFEB1" w:rsidR="00DA289D" w:rsidRPr="000004E8" w:rsidRDefault="00DA289D" w:rsidP="00F357BF">
      <w:pPr>
        <w:spacing w:after="120" w:line="300" w:lineRule="auto"/>
        <w:jc w:val="center"/>
        <w:rPr>
          <w:rFonts w:cstheme="minorHAnsi"/>
          <w:b/>
        </w:rPr>
      </w:pPr>
      <w:r w:rsidRPr="000004E8">
        <w:rPr>
          <w:rFonts w:cstheme="minorHAnsi"/>
          <w:b/>
        </w:rPr>
        <w:t>Συντελεστές Ειδικού Φόρου Κατανάλωσης - Τροποποίηση του άρθρου 73 του ν. 2960/2001</w:t>
      </w:r>
    </w:p>
    <w:p w14:paraId="2871FEA9" w14:textId="03856D99" w:rsidR="00DA289D" w:rsidRPr="000004E8" w:rsidRDefault="00DA289D" w:rsidP="00F357BF">
      <w:pPr>
        <w:pStyle w:val="a3"/>
        <w:numPr>
          <w:ilvl w:val="0"/>
          <w:numId w:val="3"/>
        </w:numPr>
        <w:spacing w:before="100" w:beforeAutospacing="1" w:after="100" w:afterAutospacing="1" w:line="300" w:lineRule="auto"/>
        <w:rPr>
          <w:rFonts w:eastAsia="Times New Roman" w:cstheme="minorHAnsi"/>
          <w:lang w:eastAsia="el-GR"/>
        </w:rPr>
      </w:pPr>
      <w:r w:rsidRPr="000004E8">
        <w:rPr>
          <w:rFonts w:eastAsia="Times New Roman" w:cstheme="minorHAnsi"/>
          <w:lang w:val="en-US" w:eastAsia="el-GR"/>
        </w:rPr>
        <w:t>H</w:t>
      </w:r>
      <w:r w:rsidRPr="000004E8">
        <w:rPr>
          <w:rFonts w:eastAsia="Times New Roman" w:cstheme="minorHAnsi"/>
          <w:lang w:eastAsia="el-GR"/>
        </w:rPr>
        <w:t xml:space="preserve"> περ. κα'</w:t>
      </w:r>
      <w:r w:rsidR="003E18A7" w:rsidRPr="000004E8">
        <w:rPr>
          <w:rFonts w:eastAsia="Times New Roman" w:cstheme="minorHAnsi"/>
          <w:lang w:eastAsia="el-GR"/>
        </w:rPr>
        <w:t xml:space="preserve"> </w:t>
      </w:r>
      <w:r w:rsidRPr="000004E8">
        <w:rPr>
          <w:rFonts w:eastAsia="Times New Roman" w:cstheme="minorHAnsi"/>
          <w:lang w:eastAsia="el-GR"/>
        </w:rPr>
        <w:t xml:space="preserve">της παρ. 1 του άρθρου 73 του </w:t>
      </w:r>
      <w:r w:rsidR="004528C8" w:rsidRPr="000004E8">
        <w:rPr>
          <w:rFonts w:eastAsia="Times New Roman" w:cstheme="minorHAnsi"/>
          <w:lang w:eastAsia="el-GR"/>
        </w:rPr>
        <w:t>ν</w:t>
      </w:r>
      <w:r w:rsidRPr="000004E8">
        <w:rPr>
          <w:rFonts w:eastAsia="Times New Roman" w:cstheme="minorHAnsi"/>
          <w:lang w:eastAsia="el-GR"/>
        </w:rPr>
        <w:t>. 2960/2001 (</w:t>
      </w:r>
      <w:r w:rsidR="004528C8" w:rsidRPr="000004E8">
        <w:rPr>
          <w:rFonts w:eastAsia="Times New Roman" w:cstheme="minorHAnsi"/>
          <w:lang w:eastAsia="el-GR"/>
        </w:rPr>
        <w:t>Α΄</w:t>
      </w:r>
      <w:r w:rsidRPr="000004E8">
        <w:rPr>
          <w:rFonts w:eastAsia="Times New Roman" w:cstheme="minorHAnsi"/>
          <w:lang w:eastAsia="el-GR"/>
        </w:rPr>
        <w:t>265), αντικαθίσταται ως ακολούθως:</w:t>
      </w:r>
    </w:p>
    <w:tbl>
      <w:tblPr>
        <w:tblW w:w="94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741"/>
        <w:gridCol w:w="2683"/>
        <w:gridCol w:w="1711"/>
        <w:gridCol w:w="1276"/>
      </w:tblGrid>
      <w:tr w:rsidR="00DA289D" w:rsidRPr="000004E8" w14:paraId="1DA56C88" w14:textId="77777777" w:rsidTr="00A931AD">
        <w:trPr>
          <w:trHeight w:val="300"/>
          <w:tblCellSpacing w:w="0" w:type="dxa"/>
        </w:trPr>
        <w:tc>
          <w:tcPr>
            <w:tcW w:w="3741" w:type="dxa"/>
            <w:shd w:val="clear" w:color="auto" w:fill="FFFFFF"/>
            <w:hideMark/>
          </w:tcPr>
          <w:p w14:paraId="3843514B" w14:textId="77777777" w:rsidR="00DA289D" w:rsidRPr="000004E8" w:rsidRDefault="00DA289D" w:rsidP="00F357BF">
            <w:pPr>
              <w:shd w:val="clear" w:color="auto" w:fill="FFFFFF"/>
              <w:spacing w:before="100" w:beforeAutospacing="1" w:after="100" w:afterAutospacing="1" w:line="300" w:lineRule="auto"/>
              <w:rPr>
                <w:rFonts w:eastAsia="Times New Roman" w:cstheme="minorHAnsi"/>
                <w:lang w:eastAsia="el-GR"/>
              </w:rPr>
            </w:pPr>
            <w:r w:rsidRPr="000004E8">
              <w:rPr>
                <w:rFonts w:eastAsia="Times New Roman" w:cstheme="minorHAnsi"/>
                <w:lang w:eastAsia="el-GR"/>
              </w:rPr>
              <w:t>«κα) Ηλεκτρική ενέργεια</w:t>
            </w:r>
          </w:p>
        </w:tc>
        <w:tc>
          <w:tcPr>
            <w:tcW w:w="2683" w:type="dxa"/>
            <w:shd w:val="clear" w:color="auto" w:fill="FFFFFF"/>
            <w:vAlign w:val="center"/>
            <w:hideMark/>
          </w:tcPr>
          <w:p w14:paraId="0992710F" w14:textId="77777777" w:rsidR="00DA289D" w:rsidRPr="000004E8" w:rsidRDefault="00DA289D" w:rsidP="00F357BF">
            <w:pPr>
              <w:shd w:val="clear" w:color="auto" w:fill="FFFFFF"/>
              <w:spacing w:before="100" w:beforeAutospacing="1" w:after="100" w:afterAutospacing="1" w:line="300" w:lineRule="auto"/>
              <w:jc w:val="center"/>
              <w:rPr>
                <w:rFonts w:eastAsia="Times New Roman" w:cstheme="minorHAnsi"/>
                <w:lang w:eastAsia="el-GR"/>
              </w:rPr>
            </w:pPr>
            <w:r w:rsidRPr="000004E8">
              <w:rPr>
                <w:rFonts w:eastAsia="Times New Roman" w:cstheme="minorHAnsi"/>
                <w:lang w:eastAsia="el-GR"/>
              </w:rPr>
              <w:t>2716</w:t>
            </w:r>
          </w:p>
        </w:tc>
        <w:tc>
          <w:tcPr>
            <w:tcW w:w="1711" w:type="dxa"/>
            <w:shd w:val="clear" w:color="auto" w:fill="FFFFFF"/>
            <w:vAlign w:val="center"/>
            <w:hideMark/>
          </w:tcPr>
          <w:p w14:paraId="5207F283" w14:textId="77777777" w:rsidR="00DA289D" w:rsidRPr="000004E8" w:rsidRDefault="00DA289D" w:rsidP="00F357BF">
            <w:pPr>
              <w:shd w:val="clear" w:color="auto" w:fill="FFFFFF"/>
              <w:spacing w:before="100" w:beforeAutospacing="1" w:after="100" w:afterAutospacing="1" w:line="300" w:lineRule="auto"/>
              <w:rPr>
                <w:rFonts w:eastAsia="Times New Roman" w:cstheme="minorHAnsi"/>
                <w:lang w:eastAsia="el-GR"/>
              </w:rPr>
            </w:pPr>
          </w:p>
        </w:tc>
        <w:tc>
          <w:tcPr>
            <w:tcW w:w="1276" w:type="dxa"/>
            <w:shd w:val="clear" w:color="auto" w:fill="FFFFFF"/>
            <w:vAlign w:val="center"/>
            <w:hideMark/>
          </w:tcPr>
          <w:p w14:paraId="15EF6FEC" w14:textId="77777777" w:rsidR="00DA289D" w:rsidRPr="000004E8" w:rsidRDefault="00DA289D" w:rsidP="00F357BF">
            <w:pPr>
              <w:shd w:val="clear" w:color="auto" w:fill="FFFFFF"/>
              <w:spacing w:before="100" w:beforeAutospacing="1" w:after="100" w:afterAutospacing="1" w:line="300" w:lineRule="auto"/>
              <w:rPr>
                <w:rFonts w:eastAsia="Times New Roman" w:cstheme="minorHAnsi"/>
                <w:lang w:eastAsia="el-GR"/>
              </w:rPr>
            </w:pPr>
          </w:p>
        </w:tc>
      </w:tr>
      <w:tr w:rsidR="00DA289D" w:rsidRPr="000004E8" w14:paraId="6D56CADA" w14:textId="77777777" w:rsidTr="00A931AD">
        <w:trPr>
          <w:trHeight w:val="2120"/>
          <w:tblCellSpacing w:w="0" w:type="dxa"/>
        </w:trPr>
        <w:tc>
          <w:tcPr>
            <w:tcW w:w="3741" w:type="dxa"/>
            <w:tcBorders>
              <w:bottom w:val="nil"/>
            </w:tcBorders>
            <w:shd w:val="clear" w:color="auto" w:fill="FFFFFF"/>
            <w:hideMark/>
          </w:tcPr>
          <w:p w14:paraId="6E414EEE" w14:textId="77777777" w:rsidR="00DA289D" w:rsidRPr="000004E8" w:rsidRDefault="00DA289D" w:rsidP="00F357BF">
            <w:pPr>
              <w:shd w:val="clear" w:color="auto" w:fill="FFFFFF"/>
              <w:spacing w:after="0" w:line="300" w:lineRule="auto"/>
              <w:contextualSpacing/>
              <w:rPr>
                <w:rFonts w:eastAsia="Times New Roman" w:cstheme="minorHAnsi"/>
                <w:lang w:eastAsia="el-GR"/>
              </w:rPr>
            </w:pPr>
            <w:r w:rsidRPr="000004E8">
              <w:rPr>
                <w:rFonts w:eastAsia="Times New Roman" w:cstheme="minorHAnsi"/>
                <w:lang w:eastAsia="el-GR"/>
              </w:rPr>
              <w:t>1) για επιχειρηματική χρήση</w:t>
            </w:r>
          </w:p>
          <w:p w14:paraId="5A7E0322" w14:textId="77777777" w:rsidR="00DA289D" w:rsidRPr="000004E8" w:rsidRDefault="00DA289D" w:rsidP="00F357BF">
            <w:pPr>
              <w:shd w:val="clear" w:color="auto" w:fill="FFFFFF"/>
              <w:spacing w:after="0" w:line="300" w:lineRule="auto"/>
              <w:contextualSpacing/>
              <w:rPr>
                <w:rFonts w:eastAsia="Times New Roman" w:cstheme="minorHAnsi"/>
                <w:lang w:eastAsia="el-GR"/>
              </w:rPr>
            </w:pPr>
          </w:p>
          <w:p w14:paraId="2F4B272A" w14:textId="77777777" w:rsidR="00DA289D" w:rsidRPr="000004E8" w:rsidRDefault="00DA289D" w:rsidP="00F357BF">
            <w:pPr>
              <w:shd w:val="clear" w:color="auto" w:fill="FFFFFF"/>
              <w:spacing w:after="0" w:line="300" w:lineRule="auto"/>
              <w:contextualSpacing/>
              <w:rPr>
                <w:rFonts w:eastAsia="Times New Roman" w:cstheme="minorHAnsi"/>
                <w:lang w:eastAsia="el-GR"/>
              </w:rPr>
            </w:pPr>
            <w:r w:rsidRPr="000004E8">
              <w:rPr>
                <w:rFonts w:eastAsia="Times New Roman" w:cstheme="minorHAnsi"/>
                <w:lang w:eastAsia="el-GR"/>
              </w:rPr>
              <w:t>- από καταναλωτές υψηλής και μέσης τάσης βάσει κλίμακας κατανάλωσης ανά έτος:</w:t>
            </w:r>
          </w:p>
          <w:p w14:paraId="712A3ABD" w14:textId="77777777" w:rsidR="00DA289D" w:rsidRPr="000004E8" w:rsidRDefault="00DA289D" w:rsidP="00F357BF">
            <w:pPr>
              <w:shd w:val="clear" w:color="auto" w:fill="FFFFFF"/>
              <w:spacing w:after="100" w:afterAutospacing="1" w:line="300" w:lineRule="auto"/>
              <w:contextualSpacing/>
              <w:rPr>
                <w:rFonts w:eastAsia="Times New Roman" w:cstheme="minorHAnsi"/>
                <w:lang w:eastAsia="el-GR"/>
              </w:rPr>
            </w:pPr>
          </w:p>
          <w:p w14:paraId="7C1C659C" w14:textId="77777777" w:rsidR="00DA289D" w:rsidRPr="000004E8" w:rsidRDefault="00DA289D" w:rsidP="00F357BF">
            <w:pPr>
              <w:shd w:val="clear" w:color="auto" w:fill="FFFFFF"/>
              <w:spacing w:after="100" w:afterAutospacing="1" w:line="300" w:lineRule="auto"/>
              <w:contextualSpacing/>
              <w:jc w:val="right"/>
              <w:rPr>
                <w:rFonts w:eastAsia="Times New Roman" w:cstheme="minorHAnsi"/>
                <w:lang w:eastAsia="el-GR"/>
              </w:rPr>
            </w:pPr>
            <w:r w:rsidRPr="000004E8">
              <w:rPr>
                <w:rFonts w:eastAsia="Times New Roman" w:cstheme="minorHAnsi"/>
                <w:lang w:eastAsia="el-GR"/>
              </w:rPr>
              <w:t xml:space="preserve">από 0 έως και 10.000 </w:t>
            </w:r>
            <w:r w:rsidRPr="000004E8">
              <w:rPr>
                <w:rFonts w:eastAsia="Times New Roman" w:cstheme="minorHAnsi"/>
                <w:lang w:val="en-US" w:eastAsia="el-GR"/>
              </w:rPr>
              <w:t>MWh</w:t>
            </w:r>
          </w:p>
          <w:p w14:paraId="687302BD" w14:textId="77777777" w:rsidR="00DA289D" w:rsidRPr="000004E8" w:rsidRDefault="00DA289D" w:rsidP="00F357BF">
            <w:pPr>
              <w:shd w:val="clear" w:color="auto" w:fill="FFFFFF"/>
              <w:spacing w:after="100" w:afterAutospacing="1" w:line="300" w:lineRule="auto"/>
              <w:contextualSpacing/>
              <w:rPr>
                <w:rFonts w:eastAsia="Times New Roman" w:cstheme="minorHAnsi"/>
                <w:lang w:eastAsia="el-GR"/>
              </w:rPr>
            </w:pPr>
          </w:p>
        </w:tc>
        <w:tc>
          <w:tcPr>
            <w:tcW w:w="2683" w:type="dxa"/>
            <w:tcBorders>
              <w:bottom w:val="nil"/>
            </w:tcBorders>
            <w:shd w:val="clear" w:color="auto" w:fill="FFFFFF"/>
            <w:vAlign w:val="center"/>
            <w:hideMark/>
          </w:tcPr>
          <w:p w14:paraId="1F3CEA3F"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tc>
        <w:tc>
          <w:tcPr>
            <w:tcW w:w="1711" w:type="dxa"/>
            <w:tcBorders>
              <w:bottom w:val="nil"/>
            </w:tcBorders>
            <w:shd w:val="clear" w:color="auto" w:fill="FFFFFF"/>
            <w:vAlign w:val="center"/>
            <w:hideMark/>
          </w:tcPr>
          <w:p w14:paraId="7EF347B4"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p>
          <w:p w14:paraId="5612B5E8"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p>
          <w:p w14:paraId="26D96651"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p>
          <w:p w14:paraId="7D36ED84"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p>
          <w:p w14:paraId="3F42D4B8"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p>
          <w:p w14:paraId="01E762C0"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p>
          <w:p w14:paraId="24C4134D" w14:textId="77777777" w:rsidR="00DA289D" w:rsidRPr="000004E8" w:rsidRDefault="00DA289D" w:rsidP="00F357BF">
            <w:pPr>
              <w:shd w:val="clear" w:color="auto" w:fill="FFFFFF"/>
              <w:spacing w:after="0" w:line="300" w:lineRule="auto"/>
              <w:contextualSpacing/>
              <w:jc w:val="center"/>
              <w:rPr>
                <w:rFonts w:eastAsia="Times New Roman" w:cstheme="minorHAnsi"/>
                <w:lang w:eastAsia="el-GR"/>
              </w:rPr>
            </w:pPr>
            <w:r w:rsidRPr="000004E8">
              <w:rPr>
                <w:rFonts w:eastAsia="Times New Roman" w:cstheme="minorHAnsi"/>
                <w:lang w:eastAsia="el-GR"/>
              </w:rPr>
              <w:t>5</w:t>
            </w:r>
          </w:p>
          <w:p w14:paraId="1125499E" w14:textId="77777777" w:rsidR="00DA289D" w:rsidRPr="000004E8" w:rsidRDefault="00DA289D" w:rsidP="00F357BF">
            <w:pPr>
              <w:spacing w:line="300" w:lineRule="auto"/>
              <w:contextualSpacing/>
              <w:jc w:val="center"/>
              <w:rPr>
                <w:rFonts w:eastAsia="Times New Roman" w:cstheme="minorHAnsi"/>
                <w:lang w:eastAsia="el-GR"/>
              </w:rPr>
            </w:pPr>
          </w:p>
        </w:tc>
        <w:tc>
          <w:tcPr>
            <w:tcW w:w="1276" w:type="dxa"/>
            <w:vMerge w:val="restart"/>
            <w:shd w:val="clear" w:color="auto" w:fill="FFFFFF"/>
            <w:vAlign w:val="center"/>
            <w:hideMark/>
          </w:tcPr>
          <w:p w14:paraId="5E85F84E"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p w14:paraId="5493B43B"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p w14:paraId="41762ADA" w14:textId="77777777" w:rsidR="00DA289D" w:rsidRPr="000004E8" w:rsidRDefault="00DA289D" w:rsidP="00F357BF">
            <w:pPr>
              <w:shd w:val="clear" w:color="auto" w:fill="FFFFFF"/>
              <w:spacing w:after="100" w:afterAutospacing="1" w:line="300" w:lineRule="auto"/>
              <w:jc w:val="center"/>
              <w:rPr>
                <w:rFonts w:eastAsia="Times New Roman" w:cstheme="minorHAnsi"/>
                <w:lang w:eastAsia="el-GR"/>
              </w:rPr>
            </w:pPr>
            <w:r w:rsidRPr="000004E8">
              <w:rPr>
                <w:rFonts w:eastAsia="Times New Roman" w:cstheme="minorHAnsi"/>
                <w:lang w:eastAsia="el-GR"/>
              </w:rPr>
              <w:t>MWh</w:t>
            </w:r>
          </w:p>
        </w:tc>
      </w:tr>
      <w:tr w:rsidR="00DA289D" w:rsidRPr="000004E8" w14:paraId="51A678C4" w14:textId="77777777" w:rsidTr="00A931AD">
        <w:trPr>
          <w:trHeight w:val="720"/>
          <w:tblCellSpacing w:w="0" w:type="dxa"/>
        </w:trPr>
        <w:tc>
          <w:tcPr>
            <w:tcW w:w="3741" w:type="dxa"/>
            <w:tcBorders>
              <w:top w:val="nil"/>
              <w:bottom w:val="nil"/>
            </w:tcBorders>
            <w:shd w:val="clear" w:color="auto" w:fill="FFFFFF"/>
            <w:vAlign w:val="center"/>
            <w:hideMark/>
          </w:tcPr>
          <w:p w14:paraId="35B10F59" w14:textId="77777777" w:rsidR="00DA289D" w:rsidRPr="000004E8" w:rsidRDefault="00DA289D" w:rsidP="00F357BF">
            <w:pPr>
              <w:shd w:val="clear" w:color="auto" w:fill="FFFFFF"/>
              <w:spacing w:after="100" w:afterAutospacing="1" w:line="300" w:lineRule="auto"/>
              <w:contextualSpacing/>
              <w:jc w:val="right"/>
              <w:rPr>
                <w:rFonts w:eastAsia="Times New Roman" w:cstheme="minorHAnsi"/>
                <w:lang w:eastAsia="el-GR"/>
              </w:rPr>
            </w:pPr>
            <w:r w:rsidRPr="000004E8">
              <w:rPr>
                <w:rFonts w:eastAsia="Times New Roman" w:cstheme="minorHAnsi"/>
                <w:lang w:eastAsia="el-GR"/>
              </w:rPr>
              <w:t>μεγαλύτερη από 10.000 Μ</w:t>
            </w:r>
            <w:r w:rsidRPr="000004E8">
              <w:rPr>
                <w:rFonts w:eastAsia="Times New Roman" w:cstheme="minorHAnsi"/>
                <w:lang w:val="en-US" w:eastAsia="el-GR"/>
              </w:rPr>
              <w:t>Wh</w:t>
            </w:r>
          </w:p>
        </w:tc>
        <w:tc>
          <w:tcPr>
            <w:tcW w:w="2683" w:type="dxa"/>
            <w:tcBorders>
              <w:top w:val="nil"/>
              <w:bottom w:val="nil"/>
            </w:tcBorders>
            <w:shd w:val="clear" w:color="auto" w:fill="FFFFFF"/>
            <w:vAlign w:val="center"/>
            <w:hideMark/>
          </w:tcPr>
          <w:p w14:paraId="64A69070"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tc>
        <w:tc>
          <w:tcPr>
            <w:tcW w:w="1711" w:type="dxa"/>
            <w:tcBorders>
              <w:top w:val="nil"/>
              <w:bottom w:val="nil"/>
            </w:tcBorders>
            <w:shd w:val="clear" w:color="auto" w:fill="FFFFFF"/>
            <w:vAlign w:val="center"/>
            <w:hideMark/>
          </w:tcPr>
          <w:p w14:paraId="650000FC" w14:textId="77777777" w:rsidR="00DA289D" w:rsidRPr="000004E8" w:rsidRDefault="00DA289D" w:rsidP="00F357BF">
            <w:pPr>
              <w:shd w:val="clear" w:color="auto" w:fill="FFFFFF"/>
              <w:spacing w:after="100" w:afterAutospacing="1" w:line="300" w:lineRule="auto"/>
              <w:contextualSpacing/>
              <w:jc w:val="center"/>
              <w:rPr>
                <w:rFonts w:eastAsia="Times New Roman" w:cstheme="minorHAnsi"/>
                <w:lang w:eastAsia="el-GR"/>
              </w:rPr>
            </w:pPr>
            <w:r w:rsidRPr="000004E8">
              <w:rPr>
                <w:rFonts w:eastAsia="Times New Roman" w:cstheme="minorHAnsi"/>
                <w:lang w:eastAsia="el-GR"/>
              </w:rPr>
              <w:t>2</w:t>
            </w:r>
          </w:p>
        </w:tc>
        <w:tc>
          <w:tcPr>
            <w:tcW w:w="1276" w:type="dxa"/>
            <w:vMerge/>
            <w:shd w:val="clear" w:color="auto" w:fill="FFFFFF"/>
            <w:vAlign w:val="center"/>
            <w:hideMark/>
          </w:tcPr>
          <w:p w14:paraId="4C32BDC1"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tc>
      </w:tr>
      <w:tr w:rsidR="00DA289D" w:rsidRPr="000004E8" w14:paraId="181819A4" w14:textId="77777777" w:rsidTr="001C446F">
        <w:trPr>
          <w:trHeight w:val="20"/>
          <w:tblCellSpacing w:w="0" w:type="dxa"/>
        </w:trPr>
        <w:tc>
          <w:tcPr>
            <w:tcW w:w="3741" w:type="dxa"/>
            <w:tcBorders>
              <w:top w:val="nil"/>
            </w:tcBorders>
            <w:shd w:val="clear" w:color="auto" w:fill="FFFFFF"/>
            <w:vAlign w:val="center"/>
            <w:hideMark/>
          </w:tcPr>
          <w:p w14:paraId="7A73E75E" w14:textId="77777777" w:rsidR="00DA289D" w:rsidRPr="000004E8" w:rsidRDefault="00DA289D" w:rsidP="00F357BF">
            <w:pPr>
              <w:shd w:val="clear" w:color="auto" w:fill="FFFFFF"/>
              <w:spacing w:after="100" w:afterAutospacing="1" w:line="300" w:lineRule="auto"/>
              <w:contextualSpacing/>
              <w:rPr>
                <w:rFonts w:eastAsia="Times New Roman" w:cstheme="minorHAnsi"/>
                <w:lang w:eastAsia="el-GR"/>
              </w:rPr>
            </w:pPr>
            <w:r w:rsidRPr="000004E8">
              <w:rPr>
                <w:rFonts w:eastAsia="Times New Roman" w:cstheme="minorHAnsi"/>
                <w:lang w:eastAsia="el-GR"/>
              </w:rPr>
              <w:t>-από τους λοιπούς καταναλωτές</w:t>
            </w:r>
          </w:p>
        </w:tc>
        <w:tc>
          <w:tcPr>
            <w:tcW w:w="2683" w:type="dxa"/>
            <w:tcBorders>
              <w:top w:val="nil"/>
            </w:tcBorders>
            <w:shd w:val="clear" w:color="auto" w:fill="FFFFFF"/>
            <w:vAlign w:val="center"/>
            <w:hideMark/>
          </w:tcPr>
          <w:p w14:paraId="4B7FFE21"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tc>
        <w:tc>
          <w:tcPr>
            <w:tcW w:w="1711" w:type="dxa"/>
            <w:tcBorders>
              <w:top w:val="nil"/>
            </w:tcBorders>
            <w:shd w:val="clear" w:color="auto" w:fill="FFFFFF"/>
            <w:vAlign w:val="center"/>
            <w:hideMark/>
          </w:tcPr>
          <w:p w14:paraId="084510EF" w14:textId="77777777" w:rsidR="00DA289D" w:rsidRPr="000004E8" w:rsidRDefault="00DA289D" w:rsidP="00F357BF">
            <w:pPr>
              <w:spacing w:line="300" w:lineRule="auto"/>
              <w:contextualSpacing/>
              <w:jc w:val="center"/>
              <w:rPr>
                <w:rFonts w:eastAsia="Times New Roman" w:cstheme="minorHAnsi"/>
                <w:lang w:eastAsia="el-GR"/>
              </w:rPr>
            </w:pPr>
            <w:r w:rsidRPr="000004E8">
              <w:rPr>
                <w:rFonts w:eastAsia="Times New Roman" w:cstheme="minorHAnsi"/>
                <w:lang w:eastAsia="el-GR"/>
              </w:rPr>
              <w:t>5</w:t>
            </w:r>
          </w:p>
        </w:tc>
        <w:tc>
          <w:tcPr>
            <w:tcW w:w="1276" w:type="dxa"/>
            <w:vMerge/>
            <w:shd w:val="clear" w:color="auto" w:fill="FFFFFF"/>
            <w:vAlign w:val="center"/>
            <w:hideMark/>
          </w:tcPr>
          <w:p w14:paraId="5CA7453D" w14:textId="77777777" w:rsidR="00DA289D" w:rsidRPr="000004E8" w:rsidRDefault="00DA289D" w:rsidP="00F357BF">
            <w:pPr>
              <w:shd w:val="clear" w:color="auto" w:fill="FFFFFF"/>
              <w:spacing w:after="100" w:afterAutospacing="1" w:line="300" w:lineRule="auto"/>
              <w:rPr>
                <w:rFonts w:eastAsia="Times New Roman" w:cstheme="minorHAnsi"/>
                <w:lang w:eastAsia="el-GR"/>
              </w:rPr>
            </w:pPr>
          </w:p>
        </w:tc>
      </w:tr>
      <w:tr w:rsidR="00DA289D" w:rsidRPr="000004E8" w14:paraId="69DD2ADA" w14:textId="77777777" w:rsidTr="00A931AD">
        <w:trPr>
          <w:trHeight w:val="570"/>
          <w:tblCellSpacing w:w="0" w:type="dxa"/>
        </w:trPr>
        <w:tc>
          <w:tcPr>
            <w:tcW w:w="3741" w:type="dxa"/>
            <w:tcBorders>
              <w:bottom w:val="nil"/>
            </w:tcBorders>
            <w:shd w:val="clear" w:color="auto" w:fill="FFFFFF"/>
            <w:hideMark/>
          </w:tcPr>
          <w:p w14:paraId="6F9C724E" w14:textId="77777777" w:rsidR="00DA289D" w:rsidRPr="000004E8" w:rsidRDefault="00DA289D" w:rsidP="00F357BF">
            <w:pPr>
              <w:shd w:val="clear" w:color="auto" w:fill="FFFFFF"/>
              <w:spacing w:after="0" w:line="300" w:lineRule="auto"/>
              <w:rPr>
                <w:rFonts w:eastAsia="Times New Roman" w:cstheme="minorHAnsi"/>
                <w:lang w:eastAsia="el-GR"/>
              </w:rPr>
            </w:pPr>
          </w:p>
          <w:p w14:paraId="5FDA1059" w14:textId="77777777" w:rsidR="00DA289D" w:rsidRPr="000004E8" w:rsidRDefault="00DA289D" w:rsidP="00F357BF">
            <w:pPr>
              <w:shd w:val="clear" w:color="auto" w:fill="FFFFFF"/>
              <w:spacing w:before="100" w:beforeAutospacing="1" w:after="0" w:line="300" w:lineRule="auto"/>
              <w:contextualSpacing/>
              <w:rPr>
                <w:rFonts w:eastAsia="Times New Roman" w:cstheme="minorHAnsi"/>
                <w:lang w:eastAsia="el-GR"/>
              </w:rPr>
            </w:pPr>
            <w:r w:rsidRPr="000004E8">
              <w:rPr>
                <w:rFonts w:eastAsia="Times New Roman" w:cstheme="minorHAnsi"/>
                <w:lang w:eastAsia="el-GR"/>
              </w:rPr>
              <w:t>2) για μη επιχειρηματική χρήση</w:t>
            </w:r>
          </w:p>
        </w:tc>
        <w:tc>
          <w:tcPr>
            <w:tcW w:w="2683" w:type="dxa"/>
            <w:tcBorders>
              <w:bottom w:val="nil"/>
            </w:tcBorders>
            <w:shd w:val="clear" w:color="auto" w:fill="FFFFFF"/>
            <w:vAlign w:val="center"/>
            <w:hideMark/>
          </w:tcPr>
          <w:p w14:paraId="4BB20378" w14:textId="77777777" w:rsidR="00DA289D" w:rsidRPr="000004E8" w:rsidRDefault="00DA289D" w:rsidP="00F357BF">
            <w:pPr>
              <w:shd w:val="clear" w:color="auto" w:fill="FFFFFF"/>
              <w:spacing w:before="100" w:beforeAutospacing="1" w:after="100" w:afterAutospacing="1" w:line="300" w:lineRule="auto"/>
              <w:rPr>
                <w:rFonts w:eastAsia="Times New Roman" w:cstheme="minorHAnsi"/>
                <w:lang w:eastAsia="el-GR"/>
              </w:rPr>
            </w:pPr>
          </w:p>
        </w:tc>
        <w:tc>
          <w:tcPr>
            <w:tcW w:w="1711" w:type="dxa"/>
            <w:tcBorders>
              <w:bottom w:val="nil"/>
            </w:tcBorders>
            <w:shd w:val="clear" w:color="auto" w:fill="FFFFFF"/>
            <w:vAlign w:val="center"/>
            <w:hideMark/>
          </w:tcPr>
          <w:p w14:paraId="073BE3F8" w14:textId="77777777" w:rsidR="00DA289D" w:rsidRPr="000004E8" w:rsidRDefault="00DA289D" w:rsidP="00F357BF">
            <w:pPr>
              <w:shd w:val="clear" w:color="auto" w:fill="FFFFFF"/>
              <w:spacing w:before="100" w:beforeAutospacing="1" w:after="0" w:line="300" w:lineRule="auto"/>
              <w:jc w:val="center"/>
              <w:rPr>
                <w:rFonts w:eastAsia="Times New Roman" w:cstheme="minorHAnsi"/>
                <w:lang w:eastAsia="el-GR"/>
              </w:rPr>
            </w:pPr>
          </w:p>
          <w:p w14:paraId="1FA55E9D" w14:textId="77777777" w:rsidR="00DA289D" w:rsidRPr="000004E8" w:rsidRDefault="00DA289D" w:rsidP="00F357BF">
            <w:pPr>
              <w:shd w:val="clear" w:color="auto" w:fill="FFFFFF"/>
              <w:spacing w:before="100" w:beforeAutospacing="1" w:after="0" w:line="300" w:lineRule="auto"/>
              <w:jc w:val="center"/>
              <w:rPr>
                <w:rFonts w:eastAsia="Times New Roman" w:cstheme="minorHAnsi"/>
                <w:lang w:eastAsia="el-GR"/>
              </w:rPr>
            </w:pPr>
          </w:p>
        </w:tc>
        <w:tc>
          <w:tcPr>
            <w:tcW w:w="1276" w:type="dxa"/>
            <w:vMerge w:val="restart"/>
            <w:shd w:val="clear" w:color="auto" w:fill="FFFFFF"/>
            <w:vAlign w:val="center"/>
            <w:hideMark/>
          </w:tcPr>
          <w:p w14:paraId="262B6562" w14:textId="77777777" w:rsidR="00DA289D" w:rsidRPr="000004E8" w:rsidRDefault="00DA289D" w:rsidP="00F357BF">
            <w:pPr>
              <w:shd w:val="clear" w:color="auto" w:fill="FFFFFF"/>
              <w:spacing w:before="100" w:beforeAutospacing="1" w:after="100" w:afterAutospacing="1" w:line="300" w:lineRule="auto"/>
              <w:jc w:val="center"/>
              <w:rPr>
                <w:rFonts w:eastAsia="Times New Roman" w:cstheme="minorHAnsi"/>
                <w:lang w:eastAsia="el-GR"/>
              </w:rPr>
            </w:pPr>
            <w:r w:rsidRPr="000004E8">
              <w:rPr>
                <w:rFonts w:eastAsia="Times New Roman" w:cstheme="minorHAnsi"/>
                <w:lang w:eastAsia="el-GR"/>
              </w:rPr>
              <w:t>MW</w:t>
            </w:r>
            <w:r w:rsidRPr="000004E8">
              <w:rPr>
                <w:rFonts w:eastAsia="Times New Roman" w:cstheme="minorHAnsi"/>
                <w:lang w:val="en-US" w:eastAsia="el-GR"/>
              </w:rPr>
              <w:t>h</w:t>
            </w:r>
            <w:r w:rsidRPr="000004E8">
              <w:rPr>
                <w:rFonts w:eastAsia="Times New Roman" w:cstheme="minorHAnsi"/>
                <w:lang w:eastAsia="el-GR"/>
              </w:rPr>
              <w:t>»</w:t>
            </w:r>
          </w:p>
        </w:tc>
      </w:tr>
      <w:tr w:rsidR="00DA289D" w:rsidRPr="000004E8" w14:paraId="6CCDAF13" w14:textId="77777777" w:rsidTr="00A931AD">
        <w:trPr>
          <w:trHeight w:val="870"/>
          <w:tblCellSpacing w:w="0" w:type="dxa"/>
        </w:trPr>
        <w:tc>
          <w:tcPr>
            <w:tcW w:w="3741" w:type="dxa"/>
            <w:tcBorders>
              <w:top w:val="nil"/>
              <w:bottom w:val="nil"/>
            </w:tcBorders>
            <w:shd w:val="clear" w:color="auto" w:fill="FFFFFF"/>
            <w:vAlign w:val="center"/>
            <w:hideMark/>
          </w:tcPr>
          <w:p w14:paraId="64C1ED9F" w14:textId="77777777" w:rsidR="00DA289D" w:rsidRPr="000004E8" w:rsidRDefault="00DA289D" w:rsidP="00F357BF">
            <w:pPr>
              <w:shd w:val="clear" w:color="auto" w:fill="FFFFFF"/>
              <w:spacing w:before="100" w:beforeAutospacing="1" w:after="0" w:line="300" w:lineRule="auto"/>
              <w:ind w:left="720"/>
              <w:contextualSpacing/>
              <w:jc w:val="center"/>
              <w:rPr>
                <w:rFonts w:eastAsia="Times New Roman" w:cstheme="minorHAnsi"/>
                <w:lang w:eastAsia="el-GR"/>
              </w:rPr>
            </w:pPr>
            <w:r w:rsidRPr="000004E8">
              <w:rPr>
                <w:rFonts w:eastAsia="Times New Roman" w:cstheme="minorHAnsi"/>
                <w:lang w:eastAsia="el-GR"/>
              </w:rPr>
              <w:t>- από οικιακή χρήση</w:t>
            </w:r>
          </w:p>
        </w:tc>
        <w:tc>
          <w:tcPr>
            <w:tcW w:w="2683" w:type="dxa"/>
            <w:tcBorders>
              <w:top w:val="nil"/>
              <w:bottom w:val="nil"/>
            </w:tcBorders>
            <w:shd w:val="clear" w:color="auto" w:fill="FFFFFF"/>
            <w:vAlign w:val="center"/>
            <w:hideMark/>
          </w:tcPr>
          <w:p w14:paraId="7EC5D356" w14:textId="77777777" w:rsidR="00DA289D" w:rsidRPr="000004E8" w:rsidRDefault="00DA289D" w:rsidP="00F357BF">
            <w:pPr>
              <w:shd w:val="clear" w:color="auto" w:fill="FFFFFF"/>
              <w:spacing w:before="100" w:beforeAutospacing="1" w:after="100" w:afterAutospacing="1" w:line="300" w:lineRule="auto"/>
              <w:rPr>
                <w:rFonts w:eastAsia="Times New Roman" w:cstheme="minorHAnsi"/>
                <w:lang w:eastAsia="el-GR"/>
              </w:rPr>
            </w:pPr>
          </w:p>
        </w:tc>
        <w:tc>
          <w:tcPr>
            <w:tcW w:w="1711" w:type="dxa"/>
            <w:tcBorders>
              <w:top w:val="nil"/>
              <w:bottom w:val="nil"/>
            </w:tcBorders>
            <w:shd w:val="clear" w:color="auto" w:fill="FFFFFF"/>
            <w:vAlign w:val="center"/>
            <w:hideMark/>
          </w:tcPr>
          <w:p w14:paraId="06497DA3" w14:textId="77777777" w:rsidR="00DA289D" w:rsidRPr="000004E8" w:rsidRDefault="00DA289D" w:rsidP="00F357BF">
            <w:pPr>
              <w:shd w:val="clear" w:color="auto" w:fill="FFFFFF"/>
              <w:spacing w:before="100" w:beforeAutospacing="1" w:after="100" w:afterAutospacing="1" w:line="300" w:lineRule="auto"/>
              <w:jc w:val="center"/>
              <w:rPr>
                <w:rFonts w:eastAsia="Times New Roman" w:cstheme="minorHAnsi"/>
                <w:lang w:eastAsia="el-GR"/>
              </w:rPr>
            </w:pPr>
            <w:r w:rsidRPr="000004E8">
              <w:rPr>
                <w:rFonts w:eastAsia="Times New Roman" w:cstheme="minorHAnsi"/>
                <w:lang w:eastAsia="el-GR"/>
              </w:rPr>
              <w:t>2,2</w:t>
            </w:r>
          </w:p>
        </w:tc>
        <w:tc>
          <w:tcPr>
            <w:tcW w:w="1276" w:type="dxa"/>
            <w:vMerge/>
            <w:shd w:val="clear" w:color="auto" w:fill="FFFFFF"/>
            <w:vAlign w:val="center"/>
            <w:hideMark/>
          </w:tcPr>
          <w:p w14:paraId="4C657F33" w14:textId="77777777" w:rsidR="00DA289D" w:rsidRPr="000004E8" w:rsidRDefault="00DA289D" w:rsidP="00F357BF">
            <w:pPr>
              <w:shd w:val="clear" w:color="auto" w:fill="FFFFFF"/>
              <w:spacing w:before="100" w:beforeAutospacing="1" w:after="100" w:afterAutospacing="1" w:line="300" w:lineRule="auto"/>
              <w:jc w:val="center"/>
              <w:rPr>
                <w:rFonts w:eastAsia="Times New Roman" w:cstheme="minorHAnsi"/>
                <w:lang w:eastAsia="el-GR"/>
              </w:rPr>
            </w:pPr>
          </w:p>
        </w:tc>
      </w:tr>
      <w:tr w:rsidR="00DA289D" w:rsidRPr="000004E8" w14:paraId="6A85851B" w14:textId="77777777" w:rsidTr="00A931AD">
        <w:trPr>
          <w:trHeight w:val="1150"/>
          <w:tblCellSpacing w:w="0" w:type="dxa"/>
        </w:trPr>
        <w:tc>
          <w:tcPr>
            <w:tcW w:w="3741" w:type="dxa"/>
            <w:tcBorders>
              <w:top w:val="nil"/>
            </w:tcBorders>
            <w:shd w:val="clear" w:color="auto" w:fill="FFFFFF"/>
            <w:vAlign w:val="center"/>
            <w:hideMark/>
          </w:tcPr>
          <w:p w14:paraId="29C26D28" w14:textId="77777777" w:rsidR="00DA289D" w:rsidRPr="000004E8" w:rsidRDefault="00DA289D" w:rsidP="00F357BF">
            <w:pPr>
              <w:shd w:val="clear" w:color="auto" w:fill="FFFFFF"/>
              <w:spacing w:before="100" w:beforeAutospacing="1" w:after="100" w:afterAutospacing="1" w:line="300" w:lineRule="auto"/>
              <w:ind w:left="720"/>
              <w:contextualSpacing/>
              <w:jc w:val="center"/>
              <w:rPr>
                <w:rFonts w:eastAsia="Times New Roman" w:cstheme="minorHAnsi"/>
                <w:lang w:eastAsia="el-GR"/>
              </w:rPr>
            </w:pPr>
            <w:r w:rsidRPr="000004E8">
              <w:rPr>
                <w:rFonts w:eastAsia="Times New Roman" w:cstheme="minorHAnsi"/>
                <w:lang w:eastAsia="el-GR"/>
              </w:rPr>
              <w:lastRenderedPageBreak/>
              <w:t>- από λοιπές χρήσεις</w:t>
            </w:r>
          </w:p>
        </w:tc>
        <w:tc>
          <w:tcPr>
            <w:tcW w:w="2683" w:type="dxa"/>
            <w:tcBorders>
              <w:top w:val="nil"/>
            </w:tcBorders>
            <w:shd w:val="clear" w:color="auto" w:fill="FFFFFF"/>
            <w:vAlign w:val="center"/>
            <w:hideMark/>
          </w:tcPr>
          <w:p w14:paraId="22E257BF" w14:textId="77777777" w:rsidR="00DA289D" w:rsidRPr="000004E8" w:rsidRDefault="00DA289D" w:rsidP="00F357BF">
            <w:pPr>
              <w:shd w:val="clear" w:color="auto" w:fill="FFFFFF"/>
              <w:spacing w:before="100" w:beforeAutospacing="1" w:after="100" w:afterAutospacing="1" w:line="300" w:lineRule="auto"/>
              <w:rPr>
                <w:rFonts w:eastAsia="Times New Roman" w:cstheme="minorHAnsi"/>
                <w:lang w:eastAsia="el-GR"/>
              </w:rPr>
            </w:pPr>
          </w:p>
        </w:tc>
        <w:tc>
          <w:tcPr>
            <w:tcW w:w="1711" w:type="dxa"/>
            <w:tcBorders>
              <w:top w:val="nil"/>
            </w:tcBorders>
            <w:shd w:val="clear" w:color="auto" w:fill="FFFFFF"/>
            <w:vAlign w:val="center"/>
            <w:hideMark/>
          </w:tcPr>
          <w:p w14:paraId="604D0769" w14:textId="77777777" w:rsidR="00DA289D" w:rsidRPr="000004E8" w:rsidRDefault="00DA289D" w:rsidP="00F357BF">
            <w:pPr>
              <w:shd w:val="clear" w:color="auto" w:fill="FFFFFF"/>
              <w:spacing w:before="100" w:beforeAutospacing="1" w:after="100" w:afterAutospacing="1" w:line="300" w:lineRule="auto"/>
              <w:jc w:val="center"/>
              <w:rPr>
                <w:rFonts w:eastAsia="Times New Roman" w:cstheme="minorHAnsi"/>
                <w:lang w:eastAsia="el-GR"/>
              </w:rPr>
            </w:pPr>
            <w:r w:rsidRPr="000004E8">
              <w:rPr>
                <w:rFonts w:eastAsia="Times New Roman" w:cstheme="minorHAnsi"/>
                <w:lang w:eastAsia="el-GR"/>
              </w:rPr>
              <w:t>5</w:t>
            </w:r>
          </w:p>
        </w:tc>
        <w:tc>
          <w:tcPr>
            <w:tcW w:w="1276" w:type="dxa"/>
            <w:vMerge/>
            <w:shd w:val="clear" w:color="auto" w:fill="FFFFFF"/>
            <w:vAlign w:val="center"/>
            <w:hideMark/>
          </w:tcPr>
          <w:p w14:paraId="06223CDC" w14:textId="77777777" w:rsidR="00DA289D" w:rsidRPr="000004E8" w:rsidRDefault="00DA289D" w:rsidP="00F357BF">
            <w:pPr>
              <w:shd w:val="clear" w:color="auto" w:fill="FFFFFF"/>
              <w:spacing w:before="100" w:beforeAutospacing="1" w:after="100" w:afterAutospacing="1" w:line="300" w:lineRule="auto"/>
              <w:jc w:val="center"/>
              <w:rPr>
                <w:rFonts w:eastAsia="Times New Roman" w:cstheme="minorHAnsi"/>
                <w:lang w:eastAsia="el-GR"/>
              </w:rPr>
            </w:pPr>
          </w:p>
        </w:tc>
      </w:tr>
    </w:tbl>
    <w:p w14:paraId="1F505E10" w14:textId="5258CD59" w:rsidR="00DA289D" w:rsidRPr="000004E8" w:rsidRDefault="00DA289D" w:rsidP="00F357BF">
      <w:pPr>
        <w:pStyle w:val="a3"/>
        <w:numPr>
          <w:ilvl w:val="0"/>
          <w:numId w:val="3"/>
        </w:numPr>
        <w:spacing w:line="300" w:lineRule="auto"/>
        <w:rPr>
          <w:rFonts w:cstheme="minorHAnsi"/>
        </w:rPr>
      </w:pPr>
      <w:r w:rsidRPr="000004E8">
        <w:rPr>
          <w:rFonts w:cstheme="minorHAnsi"/>
        </w:rPr>
        <w:lastRenderedPageBreak/>
        <w:t>Οι</w:t>
      </w:r>
      <w:r w:rsidR="003E18A7" w:rsidRPr="000004E8">
        <w:rPr>
          <w:rFonts w:cstheme="minorHAnsi"/>
        </w:rPr>
        <w:t xml:space="preserve"> </w:t>
      </w:r>
      <w:r w:rsidRPr="000004E8">
        <w:rPr>
          <w:rFonts w:cstheme="minorHAnsi"/>
        </w:rPr>
        <w:t>διατάξεις</w:t>
      </w:r>
      <w:r w:rsidR="003E18A7" w:rsidRPr="000004E8">
        <w:rPr>
          <w:rFonts w:cstheme="minorHAnsi"/>
        </w:rPr>
        <w:t xml:space="preserve"> </w:t>
      </w:r>
      <w:r w:rsidRPr="000004E8">
        <w:rPr>
          <w:rFonts w:cstheme="minorHAnsi"/>
        </w:rPr>
        <w:t>τ</w:t>
      </w:r>
      <w:r w:rsidRPr="000004E8">
        <w:rPr>
          <w:rFonts w:cstheme="minorHAnsi"/>
          <w:lang w:val="en-US"/>
        </w:rPr>
        <w:t>o</w:t>
      </w:r>
      <w:r w:rsidRPr="000004E8">
        <w:rPr>
          <w:rFonts w:cstheme="minorHAnsi"/>
        </w:rPr>
        <w:t>υ παρόντος άρθρου ισχύουν από 1</w:t>
      </w:r>
      <w:r w:rsidR="00393710">
        <w:rPr>
          <w:rFonts w:cstheme="minorHAnsi"/>
        </w:rPr>
        <w:t>ης</w:t>
      </w:r>
      <w:r w:rsidRPr="000004E8">
        <w:rPr>
          <w:rFonts w:cstheme="minorHAnsi"/>
        </w:rPr>
        <w:t>.1.2021.</w:t>
      </w:r>
    </w:p>
    <w:p w14:paraId="69354BF3" w14:textId="77777777" w:rsidR="00DA289D" w:rsidRPr="000004E8" w:rsidRDefault="00DA289D" w:rsidP="00F357BF">
      <w:pPr>
        <w:spacing w:line="300" w:lineRule="auto"/>
        <w:jc w:val="both"/>
        <w:rPr>
          <w:rFonts w:cstheme="minorHAnsi"/>
          <w:lang w:eastAsia="el-GR"/>
        </w:rPr>
      </w:pPr>
    </w:p>
    <w:p w14:paraId="3CAF95B3" w14:textId="77777777" w:rsidR="00DA289D" w:rsidRPr="000004E8" w:rsidRDefault="004E2960" w:rsidP="00F357BF">
      <w:pPr>
        <w:spacing w:after="120" w:line="300" w:lineRule="auto"/>
        <w:jc w:val="center"/>
        <w:rPr>
          <w:rFonts w:cstheme="minorHAnsi"/>
          <w:b/>
        </w:rPr>
      </w:pPr>
      <w:r w:rsidRPr="000004E8">
        <w:rPr>
          <w:rFonts w:cstheme="minorHAnsi"/>
          <w:b/>
        </w:rPr>
        <w:t xml:space="preserve">Άρθρο </w:t>
      </w:r>
      <w:r w:rsidR="008D4A2B" w:rsidRPr="000004E8">
        <w:rPr>
          <w:rFonts w:cstheme="minorHAnsi"/>
          <w:b/>
        </w:rPr>
        <w:t>10</w:t>
      </w:r>
    </w:p>
    <w:p w14:paraId="370EC780" w14:textId="0E553410" w:rsidR="00E0471A" w:rsidRPr="000004E8" w:rsidRDefault="008766F3" w:rsidP="00F357BF">
      <w:pPr>
        <w:spacing w:after="120" w:line="300" w:lineRule="auto"/>
        <w:jc w:val="center"/>
        <w:rPr>
          <w:rFonts w:cstheme="minorHAnsi"/>
          <w:b/>
        </w:rPr>
      </w:pPr>
      <w:r w:rsidRPr="000004E8">
        <w:rPr>
          <w:rFonts w:cstheme="minorHAnsi"/>
          <w:b/>
        </w:rPr>
        <w:t>Ρυθμίσεις θεμάτων Ρυθμιστικής Αρχής Ενέργειας (Ρ</w:t>
      </w:r>
      <w:r w:rsidR="00BB10EE" w:rsidRPr="000004E8">
        <w:rPr>
          <w:rFonts w:cstheme="minorHAnsi"/>
          <w:b/>
        </w:rPr>
        <w:t>.</w:t>
      </w:r>
      <w:r w:rsidRPr="000004E8">
        <w:rPr>
          <w:rFonts w:cstheme="minorHAnsi"/>
          <w:b/>
        </w:rPr>
        <w:t>Α</w:t>
      </w:r>
      <w:r w:rsidR="00BB10EE" w:rsidRPr="000004E8">
        <w:rPr>
          <w:rFonts w:cstheme="minorHAnsi"/>
          <w:b/>
        </w:rPr>
        <w:t>.</w:t>
      </w:r>
      <w:r w:rsidRPr="000004E8">
        <w:rPr>
          <w:rFonts w:cstheme="minorHAnsi"/>
          <w:b/>
        </w:rPr>
        <w:t>Ε</w:t>
      </w:r>
      <w:r w:rsidR="00BB10EE" w:rsidRPr="000004E8">
        <w:rPr>
          <w:rFonts w:cstheme="minorHAnsi"/>
          <w:b/>
        </w:rPr>
        <w:t>.</w:t>
      </w:r>
      <w:r w:rsidRPr="000004E8">
        <w:rPr>
          <w:rFonts w:cstheme="minorHAnsi"/>
          <w:b/>
        </w:rPr>
        <w:t>)</w:t>
      </w:r>
      <w:r w:rsidR="00B421E6" w:rsidRPr="000004E8">
        <w:rPr>
          <w:rFonts w:cstheme="minorHAnsi"/>
          <w:b/>
        </w:rPr>
        <w:t xml:space="preserve">, </w:t>
      </w:r>
      <w:r w:rsidRPr="000004E8">
        <w:rPr>
          <w:rFonts w:cstheme="minorHAnsi"/>
          <w:b/>
        </w:rPr>
        <w:t xml:space="preserve">Διαχειριστή </w:t>
      </w:r>
      <w:r w:rsidR="00BB10EE" w:rsidRPr="000004E8">
        <w:rPr>
          <w:rFonts w:cstheme="minorHAnsi"/>
          <w:b/>
        </w:rPr>
        <w:t>Ανανεώσιμων Πηγών Ενέργειας</w:t>
      </w:r>
      <w:r w:rsidRPr="000004E8">
        <w:rPr>
          <w:rFonts w:cstheme="minorHAnsi"/>
          <w:b/>
        </w:rPr>
        <w:t xml:space="preserve"> και Εγγυήσεων Προέλευσης (Δ</w:t>
      </w:r>
      <w:r w:rsidR="00BB10EE" w:rsidRPr="000004E8">
        <w:rPr>
          <w:rFonts w:cstheme="minorHAnsi"/>
          <w:b/>
        </w:rPr>
        <w:t>.</w:t>
      </w:r>
      <w:r w:rsidRPr="000004E8">
        <w:rPr>
          <w:rFonts w:cstheme="minorHAnsi"/>
          <w:b/>
        </w:rPr>
        <w:t>Α</w:t>
      </w:r>
      <w:r w:rsidR="00BB10EE" w:rsidRPr="000004E8">
        <w:rPr>
          <w:rFonts w:cstheme="minorHAnsi"/>
          <w:b/>
        </w:rPr>
        <w:t>.</w:t>
      </w:r>
      <w:r w:rsidRPr="000004E8">
        <w:rPr>
          <w:rFonts w:cstheme="minorHAnsi"/>
          <w:b/>
        </w:rPr>
        <w:t>Π</w:t>
      </w:r>
      <w:r w:rsidR="00BB10EE" w:rsidRPr="000004E8">
        <w:rPr>
          <w:rFonts w:cstheme="minorHAnsi"/>
          <w:b/>
        </w:rPr>
        <w:t>.</w:t>
      </w:r>
      <w:r w:rsidRPr="000004E8">
        <w:rPr>
          <w:rFonts w:cstheme="minorHAnsi"/>
          <w:b/>
        </w:rPr>
        <w:t>Ε</w:t>
      </w:r>
      <w:r w:rsidR="00BB10EE" w:rsidRPr="000004E8">
        <w:rPr>
          <w:rFonts w:cstheme="minorHAnsi"/>
          <w:b/>
        </w:rPr>
        <w:t>.</w:t>
      </w:r>
      <w:r w:rsidRPr="000004E8">
        <w:rPr>
          <w:rFonts w:cstheme="minorHAnsi"/>
          <w:b/>
        </w:rPr>
        <w:t>Ε</w:t>
      </w:r>
      <w:r w:rsidR="00BB10EE" w:rsidRPr="000004E8">
        <w:rPr>
          <w:rFonts w:cstheme="minorHAnsi"/>
          <w:b/>
        </w:rPr>
        <w:t>.</w:t>
      </w:r>
      <w:r w:rsidRPr="000004E8">
        <w:rPr>
          <w:rFonts w:cstheme="minorHAnsi"/>
          <w:b/>
        </w:rPr>
        <w:t>Π</w:t>
      </w:r>
      <w:r w:rsidR="00BB10EE" w:rsidRPr="000004E8">
        <w:rPr>
          <w:rFonts w:cstheme="minorHAnsi"/>
          <w:b/>
        </w:rPr>
        <w:t>.</w:t>
      </w:r>
      <w:r w:rsidRPr="000004E8">
        <w:rPr>
          <w:rFonts w:cstheme="minorHAnsi"/>
          <w:b/>
        </w:rPr>
        <w:t xml:space="preserve"> Α</w:t>
      </w:r>
      <w:r w:rsidR="00BB10EE" w:rsidRPr="000004E8">
        <w:rPr>
          <w:rFonts w:cstheme="minorHAnsi"/>
          <w:b/>
        </w:rPr>
        <w:t>.</w:t>
      </w:r>
      <w:r w:rsidRPr="000004E8">
        <w:rPr>
          <w:rFonts w:cstheme="minorHAnsi"/>
          <w:b/>
        </w:rPr>
        <w:t>Ε</w:t>
      </w:r>
      <w:r w:rsidR="00BB10EE" w:rsidRPr="000004E8">
        <w:rPr>
          <w:rFonts w:cstheme="minorHAnsi"/>
          <w:b/>
        </w:rPr>
        <w:t>.</w:t>
      </w:r>
      <w:r w:rsidRPr="000004E8">
        <w:rPr>
          <w:rFonts w:cstheme="minorHAnsi"/>
          <w:b/>
        </w:rPr>
        <w:t>)</w:t>
      </w:r>
      <w:r w:rsidR="00B421E6" w:rsidRPr="000004E8">
        <w:rPr>
          <w:rFonts w:cstheme="minorHAnsi"/>
          <w:b/>
        </w:rPr>
        <w:t xml:space="preserve"> και Διαχειριστή Εθνικού Δικτύου Διανομής Ηλεκτρικής Ενέργειας </w:t>
      </w:r>
      <w:r w:rsidR="00961AC1" w:rsidRPr="000004E8">
        <w:rPr>
          <w:rFonts w:cstheme="minorHAnsi"/>
          <w:b/>
        </w:rPr>
        <w:t>(Δ</w:t>
      </w:r>
      <w:r w:rsidR="00BB10EE" w:rsidRPr="000004E8">
        <w:rPr>
          <w:rFonts w:cstheme="minorHAnsi"/>
          <w:b/>
        </w:rPr>
        <w:t>.</w:t>
      </w:r>
      <w:r w:rsidR="00961AC1" w:rsidRPr="000004E8">
        <w:rPr>
          <w:rFonts w:cstheme="minorHAnsi"/>
          <w:b/>
        </w:rPr>
        <w:t>Ε</w:t>
      </w:r>
      <w:r w:rsidR="00BB10EE" w:rsidRPr="000004E8">
        <w:rPr>
          <w:rFonts w:cstheme="minorHAnsi"/>
          <w:b/>
        </w:rPr>
        <w:t>.</w:t>
      </w:r>
      <w:r w:rsidR="00961AC1" w:rsidRPr="000004E8">
        <w:rPr>
          <w:rFonts w:cstheme="minorHAnsi"/>
          <w:b/>
        </w:rPr>
        <w:t>Δ</w:t>
      </w:r>
      <w:r w:rsidR="00BB10EE" w:rsidRPr="000004E8">
        <w:rPr>
          <w:rFonts w:cstheme="minorHAnsi"/>
          <w:b/>
        </w:rPr>
        <w:t>.</w:t>
      </w:r>
      <w:r w:rsidR="00961AC1" w:rsidRPr="000004E8">
        <w:rPr>
          <w:rFonts w:cstheme="minorHAnsi"/>
          <w:b/>
        </w:rPr>
        <w:t>Δ</w:t>
      </w:r>
      <w:r w:rsidR="00BB10EE" w:rsidRPr="000004E8">
        <w:rPr>
          <w:rFonts w:cstheme="minorHAnsi"/>
          <w:b/>
        </w:rPr>
        <w:t>.</w:t>
      </w:r>
      <w:r w:rsidR="00961AC1" w:rsidRPr="000004E8">
        <w:rPr>
          <w:rFonts w:cstheme="minorHAnsi"/>
          <w:b/>
        </w:rPr>
        <w:t>Η</w:t>
      </w:r>
      <w:r w:rsidR="00BB10EE" w:rsidRPr="000004E8">
        <w:rPr>
          <w:rFonts w:cstheme="minorHAnsi"/>
          <w:b/>
        </w:rPr>
        <w:t>.</w:t>
      </w:r>
      <w:r w:rsidR="00961AC1" w:rsidRPr="000004E8">
        <w:rPr>
          <w:rFonts w:cstheme="minorHAnsi"/>
          <w:b/>
        </w:rPr>
        <w:t>Ε</w:t>
      </w:r>
      <w:r w:rsidR="00BB10EE" w:rsidRPr="000004E8">
        <w:rPr>
          <w:rFonts w:cstheme="minorHAnsi"/>
          <w:b/>
        </w:rPr>
        <w:t>.</w:t>
      </w:r>
      <w:r w:rsidR="00961AC1" w:rsidRPr="000004E8">
        <w:rPr>
          <w:rFonts w:cstheme="minorHAnsi"/>
          <w:b/>
        </w:rPr>
        <w:t xml:space="preserve"> Α</w:t>
      </w:r>
      <w:r w:rsidR="00BB10EE" w:rsidRPr="000004E8">
        <w:rPr>
          <w:rFonts w:cstheme="minorHAnsi"/>
          <w:b/>
        </w:rPr>
        <w:t>.</w:t>
      </w:r>
      <w:r w:rsidR="00961AC1" w:rsidRPr="000004E8">
        <w:rPr>
          <w:rFonts w:cstheme="minorHAnsi"/>
          <w:b/>
        </w:rPr>
        <w:t>Ε</w:t>
      </w:r>
      <w:r w:rsidR="00BB10EE" w:rsidRPr="000004E8">
        <w:rPr>
          <w:rFonts w:cstheme="minorHAnsi"/>
          <w:b/>
        </w:rPr>
        <w:t>.</w:t>
      </w:r>
      <w:r w:rsidR="00961AC1" w:rsidRPr="000004E8">
        <w:rPr>
          <w:rFonts w:cstheme="minorHAnsi"/>
          <w:b/>
        </w:rPr>
        <w:t>)</w:t>
      </w:r>
    </w:p>
    <w:p w14:paraId="4D083A50" w14:textId="1E7CC6AC" w:rsidR="004F07F0" w:rsidRPr="000004E8" w:rsidRDefault="008766F3" w:rsidP="00F357BF">
      <w:pPr>
        <w:spacing w:after="60" w:line="300" w:lineRule="auto"/>
        <w:jc w:val="both"/>
        <w:rPr>
          <w:rFonts w:cstheme="minorHAnsi"/>
          <w:lang w:eastAsia="el-GR"/>
        </w:rPr>
      </w:pPr>
      <w:r w:rsidRPr="000004E8">
        <w:rPr>
          <w:rFonts w:cstheme="minorHAnsi"/>
          <w:lang w:eastAsia="el-GR"/>
        </w:rPr>
        <w:t xml:space="preserve">1. </w:t>
      </w:r>
      <w:r w:rsidR="004F07F0" w:rsidRPr="000004E8">
        <w:rPr>
          <w:rFonts w:cstheme="minorHAnsi"/>
          <w:lang w:eastAsia="el-GR"/>
        </w:rPr>
        <w:t>Η</w:t>
      </w:r>
      <w:r w:rsidR="00906169" w:rsidRPr="000004E8">
        <w:rPr>
          <w:rFonts w:cstheme="minorHAnsi"/>
          <w:lang w:eastAsia="el-GR"/>
        </w:rPr>
        <w:t xml:space="preserve"> </w:t>
      </w:r>
      <w:r w:rsidR="004F07F0" w:rsidRPr="000004E8">
        <w:rPr>
          <w:rFonts w:cstheme="minorHAnsi"/>
          <w:lang w:eastAsia="el-GR"/>
        </w:rPr>
        <w:t>ΡΑΕ δύναται αποκλειστικά́ εντός του έτους 202</w:t>
      </w:r>
      <w:r w:rsidR="0037097D" w:rsidRPr="000004E8">
        <w:rPr>
          <w:rFonts w:cstheme="minorHAnsi"/>
          <w:lang w:eastAsia="el-GR"/>
        </w:rPr>
        <w:t>1</w:t>
      </w:r>
      <w:r w:rsidR="004F07F0" w:rsidRPr="000004E8">
        <w:rPr>
          <w:rFonts w:cstheme="minorHAnsi"/>
          <w:lang w:eastAsia="el-GR"/>
        </w:rPr>
        <w:t xml:space="preserve"> να συνάπτει μία ή περισσότερες συμβάσεις παροχής υπηρεσιών για την ανάπτυξη γεωπληροφοριακών χαρτών σε διανυσματική μορφή στους οποίους θα αποτυπώνονται οι περιοχές αποκλεισμού, ζώνες ασυμβατότητας και οι ζώνες που προκύπτουν από τις προβλεπόμενες αποστάσεις χωροθέτησης εγκαταστάσεων Α.Π.Ε. σύμφωνα με το Ειδικό Πλαίσιο Χωροταξικού Σχεδιασμού και Αειφόρου Ανάπτυξης για τις Α.Π.Ε., καθώς και άλλες αναγκαίες πληροφορίες που λαμβάνονται υπόψη κατά την αδειοδότηση των Α.Π.Ε., </w:t>
      </w:r>
      <w:r w:rsidR="004F07F0" w:rsidRPr="000004E8">
        <w:rPr>
          <w:rFonts w:cstheme="minorHAnsi"/>
        </w:rPr>
        <w:t>κατά παρέκκλιση του ν. 4412/2016 (Α’ 147)</w:t>
      </w:r>
      <w:r w:rsidR="009C2317" w:rsidRPr="000004E8">
        <w:rPr>
          <w:rFonts w:cstheme="minorHAnsi"/>
        </w:rPr>
        <w:t xml:space="preserve">, </w:t>
      </w:r>
      <w:r w:rsidR="004F07F0" w:rsidRPr="000004E8">
        <w:rPr>
          <w:rFonts w:cstheme="minorHAnsi"/>
        </w:rPr>
        <w:t xml:space="preserve">με την επιφύλαξη του </w:t>
      </w:r>
      <w:r w:rsidR="009C2317" w:rsidRPr="000004E8">
        <w:rPr>
          <w:rFonts w:cstheme="minorHAnsi"/>
        </w:rPr>
        <w:t>άρθρου 5 του ίδιου νόμου</w:t>
      </w:r>
      <w:r w:rsidR="004F07F0" w:rsidRPr="000004E8">
        <w:rPr>
          <w:rFonts w:cstheme="minorHAnsi"/>
          <w:lang w:eastAsia="el-GR"/>
        </w:rPr>
        <w:t xml:space="preserve">. Το συνολικό́ ποσό́ των συμβάσεων του προηγουμένου εδαφίου δεν μπορεί́ να υπερβαίνει τις εκατόν </w:t>
      </w:r>
      <w:r w:rsidR="006E5818">
        <w:rPr>
          <w:rFonts w:cstheme="minorHAnsi"/>
          <w:lang w:eastAsia="el-GR"/>
        </w:rPr>
        <w:t>πενήντα χιλιάδες (150.000) ευρώ,</w:t>
      </w:r>
      <w:r w:rsidR="004F07F0" w:rsidRPr="000004E8">
        <w:rPr>
          <w:rFonts w:cstheme="minorHAnsi"/>
          <w:lang w:eastAsia="el-GR"/>
        </w:rPr>
        <w:t xml:space="preserve"> πλέον </w:t>
      </w:r>
      <w:r w:rsidR="00906169" w:rsidRPr="000004E8">
        <w:rPr>
          <w:rFonts w:cstheme="minorHAnsi"/>
          <w:lang w:eastAsia="el-GR"/>
        </w:rPr>
        <w:t>Φόρου Προστιθέμενης Αξίας (</w:t>
      </w:r>
      <w:r w:rsidR="004F07F0" w:rsidRPr="000004E8">
        <w:rPr>
          <w:rFonts w:cstheme="minorHAnsi"/>
          <w:lang w:eastAsia="el-GR"/>
        </w:rPr>
        <w:t>Φ</w:t>
      </w:r>
      <w:r w:rsidR="00906169" w:rsidRPr="000004E8">
        <w:rPr>
          <w:rFonts w:cstheme="minorHAnsi"/>
          <w:lang w:eastAsia="el-GR"/>
        </w:rPr>
        <w:t>.</w:t>
      </w:r>
      <w:r w:rsidR="004F07F0" w:rsidRPr="000004E8">
        <w:rPr>
          <w:rFonts w:cstheme="minorHAnsi"/>
          <w:lang w:eastAsia="el-GR"/>
        </w:rPr>
        <w:t>Π</w:t>
      </w:r>
      <w:r w:rsidR="00906169" w:rsidRPr="000004E8">
        <w:rPr>
          <w:rFonts w:cstheme="minorHAnsi"/>
          <w:lang w:eastAsia="el-GR"/>
        </w:rPr>
        <w:t>.</w:t>
      </w:r>
      <w:r w:rsidR="004F07F0" w:rsidRPr="000004E8">
        <w:rPr>
          <w:rFonts w:cstheme="minorHAnsi"/>
          <w:lang w:eastAsia="el-GR"/>
        </w:rPr>
        <w:t>Α</w:t>
      </w:r>
      <w:r w:rsidR="00906169" w:rsidRPr="000004E8">
        <w:rPr>
          <w:rFonts w:cstheme="minorHAnsi"/>
          <w:lang w:eastAsia="el-GR"/>
        </w:rPr>
        <w:t>.)</w:t>
      </w:r>
      <w:r w:rsidR="004F07F0" w:rsidRPr="000004E8">
        <w:rPr>
          <w:rFonts w:cstheme="minorHAnsi"/>
          <w:lang w:eastAsia="el-GR"/>
        </w:rPr>
        <w:t xml:space="preserve">. </w:t>
      </w:r>
    </w:p>
    <w:p w14:paraId="4FB1ED79" w14:textId="33CAB90F" w:rsidR="004E2960" w:rsidRPr="000004E8" w:rsidRDefault="008766F3" w:rsidP="00F357BF">
      <w:pPr>
        <w:spacing w:after="60" w:line="300" w:lineRule="auto"/>
        <w:jc w:val="both"/>
        <w:rPr>
          <w:rFonts w:cstheme="minorHAnsi"/>
        </w:rPr>
      </w:pPr>
      <w:r w:rsidRPr="000004E8">
        <w:rPr>
          <w:rFonts w:cstheme="minorHAnsi"/>
          <w:shd w:val="clear" w:color="auto" w:fill="FFFFFF"/>
        </w:rPr>
        <w:t xml:space="preserve">2. </w:t>
      </w:r>
      <w:r w:rsidR="009D556C" w:rsidRPr="000004E8">
        <w:rPr>
          <w:rFonts w:cstheme="minorHAnsi"/>
          <w:shd w:val="clear" w:color="auto" w:fill="FFFFFF"/>
        </w:rPr>
        <w:t>Η Δ</w:t>
      </w:r>
      <w:r w:rsidR="00026444" w:rsidRPr="000004E8">
        <w:rPr>
          <w:rFonts w:cstheme="minorHAnsi"/>
          <w:shd w:val="clear" w:color="auto" w:fill="FFFFFF"/>
        </w:rPr>
        <w:t>.</w:t>
      </w:r>
      <w:r w:rsidR="009D556C" w:rsidRPr="000004E8">
        <w:rPr>
          <w:rFonts w:cstheme="minorHAnsi"/>
          <w:shd w:val="clear" w:color="auto" w:fill="FFFFFF"/>
        </w:rPr>
        <w:t>Α</w:t>
      </w:r>
      <w:r w:rsidR="00026444" w:rsidRPr="000004E8">
        <w:rPr>
          <w:rFonts w:cstheme="minorHAnsi"/>
          <w:shd w:val="clear" w:color="auto" w:fill="FFFFFF"/>
        </w:rPr>
        <w:t>.</w:t>
      </w:r>
      <w:r w:rsidR="009D556C" w:rsidRPr="000004E8">
        <w:rPr>
          <w:rFonts w:cstheme="minorHAnsi"/>
          <w:shd w:val="clear" w:color="auto" w:fill="FFFFFF"/>
        </w:rPr>
        <w:t>Π</w:t>
      </w:r>
      <w:r w:rsidR="00026444" w:rsidRPr="000004E8">
        <w:rPr>
          <w:rFonts w:cstheme="minorHAnsi"/>
          <w:shd w:val="clear" w:color="auto" w:fill="FFFFFF"/>
        </w:rPr>
        <w:t>.</w:t>
      </w:r>
      <w:r w:rsidR="009D556C" w:rsidRPr="000004E8">
        <w:rPr>
          <w:rFonts w:cstheme="minorHAnsi"/>
          <w:shd w:val="clear" w:color="auto" w:fill="FFFFFF"/>
        </w:rPr>
        <w:t>Ε</w:t>
      </w:r>
      <w:r w:rsidR="00026444" w:rsidRPr="000004E8">
        <w:rPr>
          <w:rFonts w:cstheme="minorHAnsi"/>
          <w:shd w:val="clear" w:color="auto" w:fill="FFFFFF"/>
        </w:rPr>
        <w:t>.</w:t>
      </w:r>
      <w:r w:rsidR="009D556C" w:rsidRPr="000004E8">
        <w:rPr>
          <w:rFonts w:cstheme="minorHAnsi"/>
          <w:shd w:val="clear" w:color="auto" w:fill="FFFFFF"/>
        </w:rPr>
        <w:t>Ε</w:t>
      </w:r>
      <w:r w:rsidR="00026444" w:rsidRPr="000004E8">
        <w:rPr>
          <w:rFonts w:cstheme="minorHAnsi"/>
          <w:shd w:val="clear" w:color="auto" w:fill="FFFFFF"/>
        </w:rPr>
        <w:t>.</w:t>
      </w:r>
      <w:r w:rsidR="009D556C" w:rsidRPr="000004E8">
        <w:rPr>
          <w:rFonts w:cstheme="minorHAnsi"/>
          <w:shd w:val="clear" w:color="auto" w:fill="FFFFFF"/>
        </w:rPr>
        <w:t>Π</w:t>
      </w:r>
      <w:r w:rsidR="00026444" w:rsidRPr="000004E8">
        <w:rPr>
          <w:rFonts w:cstheme="minorHAnsi"/>
          <w:shd w:val="clear" w:color="auto" w:fill="FFFFFF"/>
        </w:rPr>
        <w:t>.</w:t>
      </w:r>
      <w:r w:rsidR="009D556C" w:rsidRPr="000004E8">
        <w:rPr>
          <w:rFonts w:cstheme="minorHAnsi"/>
          <w:shd w:val="clear" w:color="auto" w:fill="FFFFFF"/>
        </w:rPr>
        <w:t xml:space="preserve"> Α</w:t>
      </w:r>
      <w:r w:rsidR="00026444" w:rsidRPr="000004E8">
        <w:rPr>
          <w:rFonts w:cstheme="minorHAnsi"/>
          <w:shd w:val="clear" w:color="auto" w:fill="FFFFFF"/>
        </w:rPr>
        <w:t>.</w:t>
      </w:r>
      <w:r w:rsidR="009D556C" w:rsidRPr="000004E8">
        <w:rPr>
          <w:rFonts w:cstheme="minorHAnsi"/>
          <w:shd w:val="clear" w:color="auto" w:fill="FFFFFF"/>
        </w:rPr>
        <w:t>Ε</w:t>
      </w:r>
      <w:r w:rsidR="00026444" w:rsidRPr="000004E8">
        <w:rPr>
          <w:rFonts w:cstheme="minorHAnsi"/>
          <w:shd w:val="clear" w:color="auto" w:fill="FFFFFF"/>
        </w:rPr>
        <w:t>.</w:t>
      </w:r>
      <w:r w:rsidR="009D556C" w:rsidRPr="000004E8">
        <w:rPr>
          <w:rFonts w:cstheme="minorHAnsi"/>
          <w:shd w:val="clear" w:color="auto" w:fill="FFFFFF"/>
        </w:rPr>
        <w:t xml:space="preserve"> δύναται αποκλειστικά εντός </w:t>
      </w:r>
      <w:r w:rsidR="006B7F4B" w:rsidRPr="000004E8">
        <w:rPr>
          <w:rFonts w:cstheme="minorHAnsi"/>
          <w:shd w:val="clear" w:color="auto" w:fill="FFFFFF"/>
        </w:rPr>
        <w:t>του έτους 2021</w:t>
      </w:r>
      <w:r w:rsidR="009D556C" w:rsidRPr="000004E8">
        <w:rPr>
          <w:rFonts w:cstheme="minorHAnsi"/>
          <w:shd w:val="clear" w:color="auto" w:fill="FFFFFF"/>
        </w:rPr>
        <w:t xml:space="preserve"> να συνάπτει μία ή περισσότερες συμβάσεις για την αναβάθμιση</w:t>
      </w:r>
      <w:r w:rsidR="00026444" w:rsidRPr="000004E8">
        <w:rPr>
          <w:rFonts w:cstheme="minorHAnsi"/>
          <w:shd w:val="clear" w:color="auto" w:fill="FFFFFF"/>
        </w:rPr>
        <w:t>, την</w:t>
      </w:r>
      <w:r w:rsidR="009D556C" w:rsidRPr="000004E8">
        <w:rPr>
          <w:rFonts w:cstheme="minorHAnsi"/>
          <w:shd w:val="clear" w:color="auto" w:fill="FFFFFF"/>
        </w:rPr>
        <w:t xml:space="preserve"> παραμετροποίηση</w:t>
      </w:r>
      <w:r w:rsidR="00026444" w:rsidRPr="000004E8">
        <w:rPr>
          <w:rFonts w:cstheme="minorHAnsi"/>
          <w:shd w:val="clear" w:color="auto" w:fill="FFFFFF"/>
        </w:rPr>
        <w:t>, τη</w:t>
      </w:r>
      <w:r w:rsidR="009D556C" w:rsidRPr="000004E8">
        <w:rPr>
          <w:rFonts w:cstheme="minorHAnsi"/>
          <w:shd w:val="clear" w:color="auto" w:fill="FFFFFF"/>
        </w:rPr>
        <w:t xml:space="preserve"> συντήρηση των πληροφοριακών </w:t>
      </w:r>
      <w:r w:rsidR="006B7F4B" w:rsidRPr="000004E8">
        <w:rPr>
          <w:rFonts w:cstheme="minorHAnsi"/>
          <w:shd w:val="clear" w:color="auto" w:fill="FFFFFF"/>
        </w:rPr>
        <w:t>σ</w:t>
      </w:r>
      <w:r w:rsidR="009D556C" w:rsidRPr="000004E8">
        <w:rPr>
          <w:rFonts w:cstheme="minorHAnsi"/>
          <w:shd w:val="clear" w:color="auto" w:fill="FFFFFF"/>
        </w:rPr>
        <w:t>υστημάτων εκκαθαρίσεων και υπο</w:t>
      </w:r>
      <w:r w:rsidR="006B7F4B" w:rsidRPr="000004E8">
        <w:rPr>
          <w:rFonts w:cstheme="minorHAnsi"/>
          <w:shd w:val="clear" w:color="auto" w:fill="FFFFFF"/>
        </w:rPr>
        <w:t>λογισμών των μηνιαίων χρεώσεων π</w:t>
      </w:r>
      <w:r w:rsidR="009D556C" w:rsidRPr="000004E8">
        <w:rPr>
          <w:rFonts w:cstheme="minorHAnsi"/>
          <w:shd w:val="clear" w:color="auto" w:fill="FFFFFF"/>
        </w:rPr>
        <w:t>αραγωγής των σταθμών Α</w:t>
      </w:r>
      <w:r w:rsidR="00026444" w:rsidRPr="000004E8">
        <w:rPr>
          <w:rFonts w:cstheme="minorHAnsi"/>
          <w:shd w:val="clear" w:color="auto" w:fill="FFFFFF"/>
        </w:rPr>
        <w:t>.</w:t>
      </w:r>
      <w:r w:rsidR="009D556C" w:rsidRPr="000004E8">
        <w:rPr>
          <w:rFonts w:cstheme="minorHAnsi"/>
          <w:shd w:val="clear" w:color="auto" w:fill="FFFFFF"/>
        </w:rPr>
        <w:t>Π</w:t>
      </w:r>
      <w:r w:rsidR="00026444" w:rsidRPr="000004E8">
        <w:rPr>
          <w:rFonts w:cstheme="minorHAnsi"/>
          <w:shd w:val="clear" w:color="auto" w:fill="FFFFFF"/>
        </w:rPr>
        <w:t>.</w:t>
      </w:r>
      <w:r w:rsidR="009D556C" w:rsidRPr="000004E8">
        <w:rPr>
          <w:rFonts w:cstheme="minorHAnsi"/>
          <w:shd w:val="clear" w:color="auto" w:fill="FFFFFF"/>
        </w:rPr>
        <w:t>Ε</w:t>
      </w:r>
      <w:r w:rsidR="00026444" w:rsidRPr="000004E8">
        <w:rPr>
          <w:rFonts w:cstheme="minorHAnsi"/>
          <w:shd w:val="clear" w:color="auto" w:fill="FFFFFF"/>
        </w:rPr>
        <w:t>.</w:t>
      </w:r>
      <w:r w:rsidR="009D556C" w:rsidRPr="000004E8">
        <w:rPr>
          <w:rFonts w:cstheme="minorHAnsi"/>
          <w:shd w:val="clear" w:color="auto" w:fill="FFFFFF"/>
        </w:rPr>
        <w:t xml:space="preserve"> και </w:t>
      </w:r>
      <w:r w:rsidR="00026444" w:rsidRPr="000004E8">
        <w:rPr>
          <w:rFonts w:cstheme="minorHAnsi"/>
          <w:shd w:val="clear" w:color="auto" w:fill="FFFFFF"/>
        </w:rPr>
        <w:t xml:space="preserve">των </w:t>
      </w:r>
      <w:r w:rsidR="006B7F4B" w:rsidRPr="000004E8">
        <w:rPr>
          <w:rFonts w:cstheme="minorHAnsi"/>
          <w:color w:val="000000"/>
          <w:shd w:val="clear" w:color="auto" w:fill="FFFFFF"/>
        </w:rPr>
        <w:t>μειωμένων χ</w:t>
      </w:r>
      <w:r w:rsidR="009D556C" w:rsidRPr="000004E8">
        <w:rPr>
          <w:rFonts w:cstheme="minorHAnsi"/>
          <w:color w:val="000000"/>
          <w:shd w:val="clear" w:color="auto" w:fill="FFFFFF"/>
        </w:rPr>
        <w:t xml:space="preserve">ρεώσεων </w:t>
      </w:r>
      <w:r w:rsidR="00906169" w:rsidRPr="000004E8">
        <w:rPr>
          <w:rFonts w:cstheme="minorHAnsi"/>
          <w:color w:val="000000"/>
          <w:shd w:val="clear" w:color="auto" w:fill="FFFFFF"/>
        </w:rPr>
        <w:t>Ε</w:t>
      </w:r>
      <w:r w:rsidR="00026444" w:rsidRPr="000004E8">
        <w:rPr>
          <w:rFonts w:cstheme="minorHAnsi"/>
          <w:color w:val="000000"/>
          <w:shd w:val="clear" w:color="auto" w:fill="FFFFFF"/>
        </w:rPr>
        <w:t xml:space="preserve">ιδικού </w:t>
      </w:r>
      <w:r w:rsidR="00906169" w:rsidRPr="000004E8">
        <w:rPr>
          <w:rFonts w:cstheme="minorHAnsi"/>
          <w:color w:val="000000"/>
          <w:shd w:val="clear" w:color="auto" w:fill="FFFFFF"/>
        </w:rPr>
        <w:t>Τ</w:t>
      </w:r>
      <w:r w:rsidR="00026444" w:rsidRPr="000004E8">
        <w:rPr>
          <w:rFonts w:cstheme="minorHAnsi"/>
          <w:color w:val="000000"/>
          <w:shd w:val="clear" w:color="auto" w:fill="FFFFFF"/>
        </w:rPr>
        <w:t xml:space="preserve">έλους </w:t>
      </w:r>
      <w:r w:rsidR="00906169" w:rsidRPr="000004E8">
        <w:rPr>
          <w:rFonts w:cstheme="minorHAnsi"/>
          <w:color w:val="000000"/>
          <w:shd w:val="clear" w:color="auto" w:fill="FFFFFF"/>
        </w:rPr>
        <w:t>Μ</w:t>
      </w:r>
      <w:r w:rsidR="00026444" w:rsidRPr="000004E8">
        <w:rPr>
          <w:rFonts w:cstheme="minorHAnsi"/>
          <w:color w:val="000000"/>
          <w:shd w:val="clear" w:color="auto" w:fill="FFFFFF"/>
        </w:rPr>
        <w:t xml:space="preserve">είωσης </w:t>
      </w:r>
      <w:r w:rsidR="00906169" w:rsidRPr="000004E8">
        <w:rPr>
          <w:rFonts w:cstheme="minorHAnsi"/>
          <w:color w:val="000000"/>
          <w:shd w:val="clear" w:color="auto" w:fill="FFFFFF"/>
        </w:rPr>
        <w:t>Ε</w:t>
      </w:r>
      <w:r w:rsidR="00026444" w:rsidRPr="000004E8">
        <w:rPr>
          <w:rFonts w:cstheme="minorHAnsi"/>
          <w:color w:val="000000"/>
          <w:shd w:val="clear" w:color="auto" w:fill="FFFFFF"/>
        </w:rPr>
        <w:t xml:space="preserve">κπομπών </w:t>
      </w:r>
      <w:r w:rsidR="00906169" w:rsidRPr="000004E8">
        <w:rPr>
          <w:rFonts w:cstheme="minorHAnsi"/>
          <w:color w:val="000000"/>
          <w:shd w:val="clear" w:color="auto" w:fill="FFFFFF"/>
        </w:rPr>
        <w:t>Α</w:t>
      </w:r>
      <w:r w:rsidR="00026444" w:rsidRPr="000004E8">
        <w:rPr>
          <w:rFonts w:cstheme="minorHAnsi"/>
          <w:color w:val="000000"/>
          <w:shd w:val="clear" w:color="auto" w:fill="FFFFFF"/>
        </w:rPr>
        <w:t xml:space="preserve">ερίων </w:t>
      </w:r>
      <w:r w:rsidR="00906169" w:rsidRPr="000004E8">
        <w:rPr>
          <w:rFonts w:cstheme="minorHAnsi"/>
          <w:color w:val="000000"/>
          <w:shd w:val="clear" w:color="auto" w:fill="FFFFFF"/>
        </w:rPr>
        <w:t>Ρ</w:t>
      </w:r>
      <w:r w:rsidR="00026444" w:rsidRPr="000004E8">
        <w:rPr>
          <w:rFonts w:cstheme="minorHAnsi"/>
          <w:color w:val="000000"/>
          <w:shd w:val="clear" w:color="auto" w:fill="FFFFFF"/>
        </w:rPr>
        <w:t>ύπων (</w:t>
      </w:r>
      <w:r w:rsidR="009D556C" w:rsidRPr="000004E8">
        <w:rPr>
          <w:rFonts w:cstheme="minorHAnsi"/>
          <w:color w:val="000000"/>
          <w:shd w:val="clear" w:color="auto" w:fill="FFFFFF"/>
        </w:rPr>
        <w:t>Ε</w:t>
      </w:r>
      <w:r w:rsidR="00026444" w:rsidRPr="000004E8">
        <w:rPr>
          <w:rFonts w:cstheme="minorHAnsi"/>
          <w:color w:val="000000"/>
          <w:shd w:val="clear" w:color="auto" w:fill="FFFFFF"/>
        </w:rPr>
        <w:t>.</w:t>
      </w:r>
      <w:r w:rsidR="009D556C" w:rsidRPr="000004E8">
        <w:rPr>
          <w:rFonts w:cstheme="minorHAnsi"/>
          <w:color w:val="000000"/>
          <w:shd w:val="clear" w:color="auto" w:fill="FFFFFF"/>
        </w:rPr>
        <w:t>Τ</w:t>
      </w:r>
      <w:r w:rsidR="00026444" w:rsidRPr="000004E8">
        <w:rPr>
          <w:rFonts w:cstheme="minorHAnsi"/>
          <w:color w:val="000000"/>
          <w:shd w:val="clear" w:color="auto" w:fill="FFFFFF"/>
        </w:rPr>
        <w:t>.</w:t>
      </w:r>
      <w:r w:rsidR="009D556C" w:rsidRPr="000004E8">
        <w:rPr>
          <w:rFonts w:cstheme="minorHAnsi"/>
          <w:color w:val="000000"/>
          <w:shd w:val="clear" w:color="auto" w:fill="FFFFFF"/>
        </w:rPr>
        <w:t>Μ</w:t>
      </w:r>
      <w:r w:rsidR="00026444" w:rsidRPr="000004E8">
        <w:rPr>
          <w:rFonts w:cstheme="minorHAnsi"/>
          <w:color w:val="000000"/>
          <w:shd w:val="clear" w:color="auto" w:fill="FFFFFF"/>
        </w:rPr>
        <w:t>.</w:t>
      </w:r>
      <w:r w:rsidR="009D556C" w:rsidRPr="000004E8">
        <w:rPr>
          <w:rFonts w:cstheme="minorHAnsi"/>
          <w:color w:val="000000"/>
          <w:shd w:val="clear" w:color="auto" w:fill="FFFFFF"/>
        </w:rPr>
        <w:t>Ε</w:t>
      </w:r>
      <w:r w:rsidR="00026444" w:rsidRPr="000004E8">
        <w:rPr>
          <w:rFonts w:cstheme="minorHAnsi"/>
          <w:color w:val="000000"/>
          <w:shd w:val="clear" w:color="auto" w:fill="FFFFFF"/>
        </w:rPr>
        <w:t>.</w:t>
      </w:r>
      <w:r w:rsidR="009D556C" w:rsidRPr="000004E8">
        <w:rPr>
          <w:rFonts w:cstheme="minorHAnsi"/>
          <w:color w:val="000000"/>
          <w:shd w:val="clear" w:color="auto" w:fill="FFFFFF"/>
        </w:rPr>
        <w:t>Α</w:t>
      </w:r>
      <w:r w:rsidR="00026444" w:rsidRPr="000004E8">
        <w:rPr>
          <w:rFonts w:cstheme="minorHAnsi"/>
          <w:color w:val="000000"/>
          <w:shd w:val="clear" w:color="auto" w:fill="FFFFFF"/>
        </w:rPr>
        <w:t>.</w:t>
      </w:r>
      <w:r w:rsidR="009D556C" w:rsidRPr="000004E8">
        <w:rPr>
          <w:rFonts w:cstheme="minorHAnsi"/>
          <w:color w:val="000000"/>
          <w:shd w:val="clear" w:color="auto" w:fill="FFFFFF"/>
        </w:rPr>
        <w:t>Ρ</w:t>
      </w:r>
      <w:r w:rsidR="00026444" w:rsidRPr="000004E8">
        <w:rPr>
          <w:rFonts w:cstheme="minorHAnsi"/>
          <w:color w:val="000000"/>
          <w:shd w:val="clear" w:color="auto" w:fill="FFFFFF"/>
        </w:rPr>
        <w:t>.)</w:t>
      </w:r>
      <w:r w:rsidR="009D556C" w:rsidRPr="000004E8">
        <w:rPr>
          <w:rFonts w:cstheme="minorHAnsi"/>
          <w:shd w:val="clear" w:color="auto" w:fill="FFFFFF"/>
        </w:rPr>
        <w:t>, με τη διαδικασία της απευθείας ανάθεσης, κατά παρέκκλιση του ν. 4412/2016, με την επιφύλαξη του άρθρου 235 του ίδιου νόμου. Το συνολικό ποσό των συμβάσεων του προηγούμενου εδαφίου δεν μπορεί να υπερβαίνει τις εκατόν πενήντα χιλιάδες (150.000) ευρώ πλέον ΦΠΑ.</w:t>
      </w:r>
    </w:p>
    <w:p w14:paraId="77F00FB3" w14:textId="479A9593" w:rsidR="00C61FDC" w:rsidRPr="000004E8" w:rsidRDefault="00961AC1" w:rsidP="00F357BF">
      <w:pPr>
        <w:spacing w:after="60" w:line="300" w:lineRule="auto"/>
        <w:jc w:val="both"/>
        <w:rPr>
          <w:rFonts w:cstheme="minorHAnsi"/>
        </w:rPr>
      </w:pPr>
      <w:r w:rsidRPr="000004E8">
        <w:rPr>
          <w:rFonts w:cstheme="minorHAnsi"/>
        </w:rPr>
        <w:t xml:space="preserve">3. </w:t>
      </w:r>
      <w:r w:rsidR="00C61FDC" w:rsidRPr="000004E8">
        <w:rPr>
          <w:rFonts w:cstheme="minorHAnsi"/>
        </w:rPr>
        <w:t xml:space="preserve">Το άρθρο 34 του ν. 4643/2019 </w:t>
      </w:r>
      <w:r w:rsidR="001C446F" w:rsidRPr="000004E8">
        <w:rPr>
          <w:rFonts w:cstheme="minorHAnsi"/>
        </w:rPr>
        <w:t xml:space="preserve">(Α΄ 193) </w:t>
      </w:r>
      <w:r w:rsidRPr="000004E8">
        <w:rPr>
          <w:rFonts w:cstheme="minorHAnsi"/>
        </w:rPr>
        <w:t>αντικαθίσταται ως ακολούθως</w:t>
      </w:r>
      <w:r w:rsidR="00C61FDC" w:rsidRPr="000004E8">
        <w:rPr>
          <w:rFonts w:cstheme="minorHAnsi"/>
        </w:rPr>
        <w:t xml:space="preserve">: </w:t>
      </w:r>
    </w:p>
    <w:p w14:paraId="4F973093" w14:textId="5400AC6C" w:rsidR="00C61FDC" w:rsidRPr="000004E8" w:rsidRDefault="001C446F" w:rsidP="00F357BF">
      <w:pPr>
        <w:spacing w:after="60" w:line="300" w:lineRule="auto"/>
        <w:jc w:val="both"/>
        <w:rPr>
          <w:rFonts w:cstheme="minorHAnsi"/>
        </w:rPr>
      </w:pPr>
      <w:r w:rsidRPr="000004E8">
        <w:rPr>
          <w:rFonts w:cstheme="minorHAnsi"/>
        </w:rPr>
        <w:t>«</w:t>
      </w:r>
      <w:r w:rsidR="00C61FDC" w:rsidRPr="000004E8">
        <w:rPr>
          <w:rFonts w:cstheme="minorHAnsi"/>
        </w:rPr>
        <w:t>Η δυνατότητα παροχής υποστηρικτικών υπηρεσιών από τη</w:t>
      </w:r>
      <w:r w:rsidR="00906169" w:rsidRPr="000004E8">
        <w:rPr>
          <w:rFonts w:cstheme="minorHAnsi"/>
        </w:rPr>
        <w:t>ν</w:t>
      </w:r>
      <w:r w:rsidR="00C61FDC" w:rsidRPr="000004E8">
        <w:rPr>
          <w:rFonts w:cstheme="minorHAnsi"/>
        </w:rPr>
        <w:t xml:space="preserve"> </w:t>
      </w:r>
      <w:r w:rsidR="00906169" w:rsidRPr="000004E8">
        <w:rPr>
          <w:rFonts w:cstheme="minorHAnsi"/>
        </w:rPr>
        <w:t>Ανώνυμη Εταιρεία με την επωνυμία Δημόσια Επιχείρηση Ηλεκτρισμού (</w:t>
      </w:r>
      <w:r w:rsidR="00C61FDC" w:rsidRPr="000004E8">
        <w:rPr>
          <w:rFonts w:cstheme="minorHAnsi"/>
        </w:rPr>
        <w:t>Δ</w:t>
      </w:r>
      <w:r w:rsidR="0022556C" w:rsidRPr="000004E8">
        <w:rPr>
          <w:rFonts w:cstheme="minorHAnsi"/>
        </w:rPr>
        <w:t>.</w:t>
      </w:r>
      <w:r w:rsidR="00C61FDC" w:rsidRPr="000004E8">
        <w:rPr>
          <w:rFonts w:cstheme="minorHAnsi"/>
        </w:rPr>
        <w:t>Ε</w:t>
      </w:r>
      <w:r w:rsidR="0022556C" w:rsidRPr="000004E8">
        <w:rPr>
          <w:rFonts w:cstheme="minorHAnsi"/>
        </w:rPr>
        <w:t>.</w:t>
      </w:r>
      <w:r w:rsidR="00C61FDC" w:rsidRPr="000004E8">
        <w:rPr>
          <w:rFonts w:cstheme="minorHAnsi"/>
        </w:rPr>
        <w:t>Η</w:t>
      </w:r>
      <w:r w:rsidR="0022556C" w:rsidRPr="000004E8">
        <w:rPr>
          <w:rFonts w:cstheme="minorHAnsi"/>
        </w:rPr>
        <w:t>.</w:t>
      </w:r>
      <w:r w:rsidR="00C61FDC" w:rsidRPr="000004E8">
        <w:rPr>
          <w:rFonts w:cstheme="minorHAnsi"/>
        </w:rPr>
        <w:t xml:space="preserve"> Α.Ε.</w:t>
      </w:r>
      <w:r w:rsidR="00906169" w:rsidRPr="000004E8">
        <w:rPr>
          <w:rFonts w:cstheme="minorHAnsi"/>
        </w:rPr>
        <w:t>)</w:t>
      </w:r>
      <w:r w:rsidR="00C61FDC" w:rsidRPr="000004E8">
        <w:rPr>
          <w:rFonts w:cstheme="minorHAnsi"/>
        </w:rPr>
        <w:t xml:space="preserve"> στη</w:t>
      </w:r>
      <w:r w:rsidR="00906169" w:rsidRPr="000004E8">
        <w:rPr>
          <w:rFonts w:cstheme="minorHAnsi"/>
        </w:rPr>
        <w:t xml:space="preserve">ν Ανώνυμη Εταιρεία με την επωνυμία Διαχειριστής Ελληνικού Δικτύου </w:t>
      </w:r>
      <w:r w:rsidR="002D35DE" w:rsidRPr="000004E8">
        <w:rPr>
          <w:rFonts w:cstheme="minorHAnsi"/>
        </w:rPr>
        <w:t>Διανομής Ηλεκτρικής Ενέργειας</w:t>
      </w:r>
      <w:r w:rsidR="00C61FDC" w:rsidRPr="000004E8">
        <w:rPr>
          <w:rFonts w:cstheme="minorHAnsi"/>
        </w:rPr>
        <w:t xml:space="preserve"> </w:t>
      </w:r>
      <w:r w:rsidR="002D35DE" w:rsidRPr="000004E8">
        <w:rPr>
          <w:rFonts w:cstheme="minorHAnsi"/>
        </w:rPr>
        <w:t>(</w:t>
      </w:r>
      <w:r w:rsidR="00C61FDC" w:rsidRPr="000004E8">
        <w:rPr>
          <w:rFonts w:cstheme="minorHAnsi"/>
        </w:rPr>
        <w:t>Δ</w:t>
      </w:r>
      <w:r w:rsidR="0022556C" w:rsidRPr="000004E8">
        <w:rPr>
          <w:rFonts w:cstheme="minorHAnsi"/>
        </w:rPr>
        <w:t>.</w:t>
      </w:r>
      <w:r w:rsidR="00C61FDC" w:rsidRPr="000004E8">
        <w:rPr>
          <w:rFonts w:cstheme="minorHAnsi"/>
        </w:rPr>
        <w:t>Ε</w:t>
      </w:r>
      <w:r w:rsidR="0022556C" w:rsidRPr="000004E8">
        <w:rPr>
          <w:rFonts w:cstheme="minorHAnsi"/>
        </w:rPr>
        <w:t>.</w:t>
      </w:r>
      <w:r w:rsidR="00C61FDC" w:rsidRPr="000004E8">
        <w:rPr>
          <w:rFonts w:cstheme="minorHAnsi"/>
        </w:rPr>
        <w:t>Δ</w:t>
      </w:r>
      <w:r w:rsidR="0022556C" w:rsidRPr="000004E8">
        <w:rPr>
          <w:rFonts w:cstheme="minorHAnsi"/>
        </w:rPr>
        <w:t>.</w:t>
      </w:r>
      <w:r w:rsidR="00C61FDC" w:rsidRPr="000004E8">
        <w:rPr>
          <w:rFonts w:cstheme="minorHAnsi"/>
        </w:rPr>
        <w:t>Δ</w:t>
      </w:r>
      <w:r w:rsidR="0022556C" w:rsidRPr="000004E8">
        <w:rPr>
          <w:rFonts w:cstheme="minorHAnsi"/>
        </w:rPr>
        <w:t>.</w:t>
      </w:r>
      <w:r w:rsidR="00C61FDC" w:rsidRPr="000004E8">
        <w:rPr>
          <w:rFonts w:cstheme="minorHAnsi"/>
        </w:rPr>
        <w:t>Η</w:t>
      </w:r>
      <w:r w:rsidR="0022556C" w:rsidRPr="000004E8">
        <w:rPr>
          <w:rFonts w:cstheme="minorHAnsi"/>
        </w:rPr>
        <w:t>.</w:t>
      </w:r>
      <w:r w:rsidR="00C61FDC" w:rsidRPr="000004E8">
        <w:rPr>
          <w:rFonts w:cstheme="minorHAnsi"/>
        </w:rPr>
        <w:t>Ε</w:t>
      </w:r>
      <w:r w:rsidR="0022556C" w:rsidRPr="000004E8">
        <w:rPr>
          <w:rFonts w:cstheme="minorHAnsi"/>
        </w:rPr>
        <w:t>.</w:t>
      </w:r>
      <w:r w:rsidR="00C61FDC" w:rsidRPr="000004E8">
        <w:rPr>
          <w:rFonts w:cstheme="minorHAnsi"/>
        </w:rPr>
        <w:t xml:space="preserve"> Α.Ε.</w:t>
      </w:r>
      <w:r w:rsidR="002D35DE" w:rsidRPr="000004E8">
        <w:rPr>
          <w:rFonts w:cstheme="minorHAnsi"/>
        </w:rPr>
        <w:t>)</w:t>
      </w:r>
      <w:r w:rsidR="00C61FDC" w:rsidRPr="000004E8">
        <w:rPr>
          <w:rFonts w:cstheme="minorHAnsi"/>
        </w:rPr>
        <w:t xml:space="preserve"> που προβλέπεται </w:t>
      </w:r>
      <w:r w:rsidR="0022556C" w:rsidRPr="000004E8">
        <w:rPr>
          <w:rFonts w:cstheme="minorHAnsi"/>
        </w:rPr>
        <w:t xml:space="preserve">στην παρ. 4 του </w:t>
      </w:r>
      <w:r w:rsidR="00C61FDC" w:rsidRPr="000004E8">
        <w:rPr>
          <w:rFonts w:cstheme="minorHAnsi"/>
        </w:rPr>
        <w:t>άρθρο</w:t>
      </w:r>
      <w:r w:rsidR="0022556C" w:rsidRPr="000004E8">
        <w:rPr>
          <w:rFonts w:cstheme="minorHAnsi"/>
        </w:rPr>
        <w:t>υ</w:t>
      </w:r>
      <w:r w:rsidR="00C61FDC" w:rsidRPr="000004E8">
        <w:rPr>
          <w:rFonts w:cstheme="minorHAnsi"/>
        </w:rPr>
        <w:t xml:space="preserve"> 125 </w:t>
      </w:r>
      <w:r w:rsidR="00A65207" w:rsidRPr="000004E8">
        <w:rPr>
          <w:rFonts w:cstheme="minorHAnsi"/>
        </w:rPr>
        <w:t>του ν. 4001/2011 (Α’ 179</w:t>
      </w:r>
      <w:r w:rsidR="00C61FDC" w:rsidRPr="000004E8">
        <w:rPr>
          <w:rFonts w:cstheme="minorHAnsi"/>
        </w:rPr>
        <w:t>)</w:t>
      </w:r>
      <w:r w:rsidR="002D35DE" w:rsidRPr="000004E8">
        <w:rPr>
          <w:rFonts w:cstheme="minorHAnsi"/>
        </w:rPr>
        <w:t>,</w:t>
      </w:r>
      <w:r w:rsidR="00C61FDC" w:rsidRPr="000004E8">
        <w:rPr>
          <w:rFonts w:cstheme="minorHAnsi"/>
        </w:rPr>
        <w:t xml:space="preserve"> παρ</w:t>
      </w:r>
      <w:r w:rsidRPr="000004E8">
        <w:rPr>
          <w:rFonts w:cstheme="minorHAnsi"/>
        </w:rPr>
        <w:t>ατείνεται μέχρι τις 31.12.2021.»</w:t>
      </w:r>
    </w:p>
    <w:p w14:paraId="762F5CA1" w14:textId="77777777" w:rsidR="00C61FDC" w:rsidRPr="000004E8" w:rsidRDefault="00C61FDC" w:rsidP="00F357BF">
      <w:pPr>
        <w:spacing w:line="300" w:lineRule="auto"/>
        <w:jc w:val="both"/>
        <w:rPr>
          <w:rFonts w:cstheme="minorHAnsi"/>
        </w:rPr>
      </w:pPr>
    </w:p>
    <w:p w14:paraId="1201758A" w14:textId="77777777" w:rsidR="00A65207" w:rsidRPr="000004E8" w:rsidRDefault="008D4A2B" w:rsidP="00F357BF">
      <w:pPr>
        <w:spacing w:after="120" w:line="300" w:lineRule="auto"/>
        <w:jc w:val="center"/>
        <w:rPr>
          <w:rFonts w:cstheme="minorHAnsi"/>
          <w:b/>
        </w:rPr>
      </w:pPr>
      <w:r w:rsidRPr="000004E8">
        <w:rPr>
          <w:rFonts w:cstheme="minorHAnsi"/>
          <w:b/>
        </w:rPr>
        <w:t>Άρθρο 11</w:t>
      </w:r>
    </w:p>
    <w:p w14:paraId="5D06FC15" w14:textId="0BF09604" w:rsidR="00A65207" w:rsidRPr="000004E8" w:rsidRDefault="00A65207" w:rsidP="00F357BF">
      <w:pPr>
        <w:spacing w:after="120" w:line="300" w:lineRule="auto"/>
        <w:jc w:val="center"/>
        <w:rPr>
          <w:rFonts w:cstheme="minorHAnsi"/>
          <w:b/>
        </w:rPr>
      </w:pPr>
      <w:r w:rsidRPr="000004E8">
        <w:rPr>
          <w:rFonts w:cstheme="minorHAnsi"/>
          <w:b/>
        </w:rPr>
        <w:t>Παράταση υποβολής απαιτούμενων δικαιολογητικών για τη λειτουργία</w:t>
      </w:r>
      <w:r w:rsidR="003E18A7" w:rsidRPr="000004E8">
        <w:rPr>
          <w:rFonts w:cstheme="minorHAnsi"/>
          <w:b/>
        </w:rPr>
        <w:t xml:space="preserve"> </w:t>
      </w:r>
      <w:r w:rsidRPr="000004E8">
        <w:rPr>
          <w:rFonts w:cstheme="minorHAnsi"/>
          <w:b/>
        </w:rPr>
        <w:t>των λατομείων σχιστολιθικών πλακών – Τροποποίηση της παρ. 23 του άρθρου 68 του ν. 4512/2018</w:t>
      </w:r>
    </w:p>
    <w:p w14:paraId="7001A05F" w14:textId="77777777" w:rsidR="00F9310B" w:rsidRPr="000004E8" w:rsidRDefault="009C0D12" w:rsidP="00F357BF">
      <w:pPr>
        <w:pStyle w:val="listparagraph"/>
        <w:spacing w:after="60" w:line="300" w:lineRule="auto"/>
        <w:ind w:left="0"/>
        <w:jc w:val="both"/>
        <w:rPr>
          <w:rFonts w:asciiTheme="minorHAnsi" w:hAnsiTheme="minorHAnsi" w:cstheme="minorHAnsi"/>
        </w:rPr>
      </w:pPr>
      <w:r w:rsidRPr="000004E8">
        <w:rPr>
          <w:rFonts w:asciiTheme="minorHAnsi" w:hAnsiTheme="minorHAnsi" w:cstheme="minorHAnsi"/>
        </w:rPr>
        <w:lastRenderedPageBreak/>
        <w:t xml:space="preserve">1. </w:t>
      </w:r>
      <w:r w:rsidR="00F9310B" w:rsidRPr="000004E8">
        <w:rPr>
          <w:rFonts w:asciiTheme="minorHAnsi" w:hAnsiTheme="minorHAnsi" w:cstheme="minorHAnsi"/>
        </w:rPr>
        <w:t>Η προθεσμία του πρώτου εδαφίου της παρ. 23 του άρθρου 68 του ν. 4512/2018 (Α΄ 5) τροποποιείται και η παρ. 23 διαμορφώνεται ως εξής:</w:t>
      </w:r>
    </w:p>
    <w:p w14:paraId="09724830" w14:textId="032A333E" w:rsidR="00F9310B" w:rsidRPr="000004E8" w:rsidRDefault="00F9310B" w:rsidP="00F357BF">
      <w:pPr>
        <w:spacing w:after="60" w:line="300" w:lineRule="auto"/>
        <w:jc w:val="both"/>
        <w:rPr>
          <w:rFonts w:cstheme="minorHAnsi"/>
          <w:color w:val="000000"/>
        </w:rPr>
      </w:pPr>
      <w:r w:rsidRPr="000004E8">
        <w:rPr>
          <w:rFonts w:cstheme="minorHAnsi"/>
          <w:color w:val="000000"/>
        </w:rPr>
        <w:t xml:space="preserve">«23. Νομικά και φυσικά πρόσωπα που εκμεταλλεύονται λατομεία σχιστολιθικών πλακών σύμφωνα με </w:t>
      </w:r>
      <w:r w:rsidR="00107FFA" w:rsidRPr="000004E8">
        <w:rPr>
          <w:rFonts w:cstheme="minorHAnsi"/>
          <w:color w:val="000000"/>
        </w:rPr>
        <w:t xml:space="preserve"> </w:t>
      </w:r>
      <w:r w:rsidRPr="000004E8">
        <w:rPr>
          <w:rFonts w:cstheme="minorHAnsi"/>
          <w:color w:val="000000"/>
        </w:rPr>
        <w:t>το άρθρο 16 του ν. 3851/2010 (Α΄ 85), προκειμένου να συνεχίσουν την εκμετάλλευση των λατομείων αυτών, οφείλουν να υποβάλουν τα απαιτούμενα δικαιολογητικά, σύμφωνα με το άρθρο 64 του ν.</w:t>
      </w:r>
      <w:r w:rsidR="00EA292B" w:rsidRPr="000004E8">
        <w:rPr>
          <w:rFonts w:cstheme="minorHAnsi"/>
          <w:color w:val="000000"/>
        </w:rPr>
        <w:t xml:space="preserve"> 4442/2016</w:t>
      </w:r>
      <w:r w:rsidR="002D35DE" w:rsidRPr="000004E8">
        <w:rPr>
          <w:rFonts w:cstheme="minorHAnsi"/>
          <w:color w:val="000000"/>
        </w:rPr>
        <w:t xml:space="preserve"> (Α’ 230)</w:t>
      </w:r>
      <w:r w:rsidR="00EA292B" w:rsidRPr="000004E8">
        <w:rPr>
          <w:rFonts w:cstheme="minorHAnsi"/>
          <w:color w:val="000000"/>
        </w:rPr>
        <w:t>, μέχρι τις 30.6.2021</w:t>
      </w:r>
      <w:r w:rsidRPr="000004E8">
        <w:rPr>
          <w:rFonts w:cstheme="minorHAnsi"/>
          <w:color w:val="000000"/>
        </w:rPr>
        <w:t>. Για την πρώτη τριετία εφαρμογής των διατάξεων αυτών, η εγγυητική επιστολή έναντι οφειλόμενων μισθωμάτων υπολογίζεται στο</w:t>
      </w:r>
      <w:r w:rsidR="002D35DE" w:rsidRPr="000004E8">
        <w:rPr>
          <w:rFonts w:cstheme="minorHAnsi"/>
          <w:color w:val="000000"/>
        </w:rPr>
        <w:t xml:space="preserve"> πενήντα τοις εκατό</w:t>
      </w:r>
      <w:r w:rsidRPr="000004E8">
        <w:rPr>
          <w:rFonts w:cstheme="minorHAnsi"/>
          <w:color w:val="000000"/>
        </w:rPr>
        <w:t xml:space="preserve"> </w:t>
      </w:r>
      <w:r w:rsidR="002D35DE" w:rsidRPr="000004E8">
        <w:rPr>
          <w:rFonts w:cstheme="minorHAnsi"/>
          <w:color w:val="000000"/>
        </w:rPr>
        <w:t>(</w:t>
      </w:r>
      <w:r w:rsidRPr="000004E8">
        <w:rPr>
          <w:rFonts w:cstheme="minorHAnsi"/>
          <w:color w:val="000000"/>
        </w:rPr>
        <w:t>50%</w:t>
      </w:r>
      <w:r w:rsidR="002D35DE" w:rsidRPr="000004E8">
        <w:rPr>
          <w:rFonts w:cstheme="minorHAnsi"/>
          <w:color w:val="000000"/>
        </w:rPr>
        <w:t>)</w:t>
      </w:r>
      <w:r w:rsidRPr="000004E8">
        <w:rPr>
          <w:rFonts w:cstheme="minorHAnsi"/>
          <w:color w:val="000000"/>
        </w:rPr>
        <w:t xml:space="preserve"> των προβλεπόμενων πάγιων σύμφωνα με τον τύπο της παρ. 4 του άρθρο 45. Η κατάθεση της εγγυητικής επιστολής της παρ. 2 του άρθρου 55 για τη</w:t>
      </w:r>
      <w:r w:rsidR="003600A0" w:rsidRPr="000004E8">
        <w:rPr>
          <w:rFonts w:cstheme="minorHAnsi"/>
          <w:color w:val="000000"/>
        </w:rPr>
        <w:t>ν</w:t>
      </w:r>
      <w:r w:rsidRPr="000004E8">
        <w:rPr>
          <w:rFonts w:cstheme="minorHAnsi"/>
          <w:color w:val="000000"/>
        </w:rPr>
        <w:t xml:space="preserve"> αποκατάσταση του περιβάλλοντος σύμφωνα με την εγκεκριμένη </w:t>
      </w:r>
      <w:r w:rsidR="002D35DE" w:rsidRPr="000004E8">
        <w:rPr>
          <w:rFonts w:cstheme="minorHAnsi"/>
          <w:color w:val="000000"/>
        </w:rPr>
        <w:t>Α</w:t>
      </w:r>
      <w:r w:rsidR="003600A0" w:rsidRPr="000004E8">
        <w:rPr>
          <w:rFonts w:cstheme="minorHAnsi"/>
          <w:color w:val="000000"/>
        </w:rPr>
        <w:t xml:space="preserve">πόφαση </w:t>
      </w:r>
      <w:r w:rsidR="002D35DE" w:rsidRPr="000004E8">
        <w:rPr>
          <w:rFonts w:cstheme="minorHAnsi"/>
          <w:color w:val="000000"/>
        </w:rPr>
        <w:t>Έ</w:t>
      </w:r>
      <w:r w:rsidR="003600A0" w:rsidRPr="000004E8">
        <w:rPr>
          <w:rFonts w:cstheme="minorHAnsi"/>
          <w:color w:val="000000"/>
        </w:rPr>
        <w:t xml:space="preserve">γκρισης </w:t>
      </w:r>
      <w:r w:rsidR="002D35DE" w:rsidRPr="000004E8">
        <w:rPr>
          <w:rFonts w:cstheme="minorHAnsi"/>
          <w:color w:val="000000"/>
        </w:rPr>
        <w:t>Π</w:t>
      </w:r>
      <w:r w:rsidR="003600A0" w:rsidRPr="000004E8">
        <w:rPr>
          <w:rFonts w:cstheme="minorHAnsi"/>
          <w:color w:val="000000"/>
        </w:rPr>
        <w:t xml:space="preserve">εριβαλλοντικών </w:t>
      </w:r>
      <w:r w:rsidR="002D35DE" w:rsidRPr="000004E8">
        <w:rPr>
          <w:rFonts w:cstheme="minorHAnsi"/>
          <w:color w:val="000000"/>
        </w:rPr>
        <w:t>Ό</w:t>
      </w:r>
      <w:r w:rsidR="003600A0" w:rsidRPr="000004E8">
        <w:rPr>
          <w:rFonts w:cstheme="minorHAnsi"/>
          <w:color w:val="000000"/>
        </w:rPr>
        <w:t>ρων (</w:t>
      </w:r>
      <w:r w:rsidRPr="000004E8">
        <w:rPr>
          <w:rFonts w:cstheme="minorHAnsi"/>
          <w:color w:val="000000"/>
        </w:rPr>
        <w:t>ΑΕΠΟ</w:t>
      </w:r>
      <w:r w:rsidR="003600A0" w:rsidRPr="000004E8">
        <w:rPr>
          <w:rFonts w:cstheme="minorHAnsi"/>
          <w:color w:val="000000"/>
        </w:rPr>
        <w:t>)</w:t>
      </w:r>
      <w:r w:rsidRPr="000004E8">
        <w:rPr>
          <w:rFonts w:cstheme="minorHAnsi"/>
          <w:color w:val="000000"/>
        </w:rPr>
        <w:t xml:space="preserve"> γίνεται σύμφωνα με τις διατάξεις της παρ. 22 του παρόντος.»</w:t>
      </w:r>
      <w:r w:rsidR="00107FFA" w:rsidRPr="000004E8">
        <w:rPr>
          <w:rFonts w:cstheme="minorHAnsi"/>
          <w:color w:val="000000"/>
        </w:rPr>
        <w:t>.</w:t>
      </w:r>
    </w:p>
    <w:p w14:paraId="00480DAB" w14:textId="4B8B90D7" w:rsidR="00F9310B" w:rsidRPr="000004E8" w:rsidRDefault="00F9310B" w:rsidP="00F357BF">
      <w:pPr>
        <w:pStyle w:val="listparagraph"/>
        <w:spacing w:after="60" w:line="300" w:lineRule="auto"/>
        <w:ind w:left="0"/>
        <w:jc w:val="both"/>
        <w:rPr>
          <w:rFonts w:asciiTheme="minorHAnsi" w:hAnsiTheme="minorHAnsi" w:cstheme="minorHAnsi"/>
          <w:color w:val="000000"/>
        </w:rPr>
      </w:pPr>
      <w:r w:rsidRPr="000004E8">
        <w:rPr>
          <w:rFonts w:asciiTheme="minorHAnsi" w:hAnsiTheme="minorHAnsi" w:cstheme="minorHAnsi"/>
        </w:rPr>
        <w:t>2. Η παρ. 1 ισχύει αναδρομικά από 1</w:t>
      </w:r>
      <w:r w:rsidR="00393710">
        <w:rPr>
          <w:rFonts w:asciiTheme="minorHAnsi" w:hAnsiTheme="minorHAnsi" w:cstheme="minorHAnsi"/>
        </w:rPr>
        <w:t>ης</w:t>
      </w:r>
      <w:r w:rsidRPr="000004E8">
        <w:rPr>
          <w:rFonts w:asciiTheme="minorHAnsi" w:hAnsiTheme="minorHAnsi" w:cstheme="minorHAnsi"/>
        </w:rPr>
        <w:t>.7.2020.</w:t>
      </w:r>
    </w:p>
    <w:p w14:paraId="6740FD62" w14:textId="77777777" w:rsidR="00F9310B" w:rsidRPr="000004E8" w:rsidRDefault="00F9310B" w:rsidP="00F357BF">
      <w:pPr>
        <w:spacing w:line="300" w:lineRule="auto"/>
        <w:jc w:val="both"/>
        <w:rPr>
          <w:rFonts w:cstheme="minorHAnsi"/>
        </w:rPr>
      </w:pPr>
    </w:p>
    <w:p w14:paraId="43459582" w14:textId="77777777" w:rsidR="00F8152D" w:rsidRPr="000004E8" w:rsidRDefault="008D4A2B" w:rsidP="00F357BF">
      <w:pPr>
        <w:spacing w:after="120" w:line="300" w:lineRule="auto"/>
        <w:jc w:val="center"/>
        <w:rPr>
          <w:rFonts w:cstheme="minorHAnsi"/>
          <w:b/>
        </w:rPr>
      </w:pPr>
      <w:r w:rsidRPr="000004E8">
        <w:rPr>
          <w:rFonts w:cstheme="minorHAnsi"/>
          <w:b/>
        </w:rPr>
        <w:t>Άρθρο 12</w:t>
      </w:r>
    </w:p>
    <w:p w14:paraId="5F857C95" w14:textId="77777777" w:rsidR="00F8152D" w:rsidRPr="000004E8" w:rsidRDefault="00F8152D" w:rsidP="00F357BF">
      <w:pPr>
        <w:spacing w:after="120" w:line="300" w:lineRule="auto"/>
        <w:jc w:val="center"/>
        <w:rPr>
          <w:rFonts w:cstheme="minorHAnsi"/>
          <w:b/>
        </w:rPr>
      </w:pPr>
      <w:r w:rsidRPr="000004E8">
        <w:rPr>
          <w:rFonts w:cstheme="minorHAnsi"/>
          <w:b/>
        </w:rPr>
        <w:t>Διακυβέρνηση Ελληνικής Διαχειριστικής Εταιρείας Υδρογονανθράκων (ΕΔΕΥ ΑΕ)</w:t>
      </w:r>
    </w:p>
    <w:p w14:paraId="1F095099" w14:textId="77777777" w:rsidR="00506287" w:rsidRPr="000004E8" w:rsidRDefault="00506287" w:rsidP="00F357BF">
      <w:pPr>
        <w:spacing w:after="60" w:line="300" w:lineRule="auto"/>
        <w:jc w:val="both"/>
        <w:rPr>
          <w:rFonts w:cstheme="minorHAnsi"/>
        </w:rPr>
      </w:pPr>
      <w:r w:rsidRPr="000004E8">
        <w:rPr>
          <w:rFonts w:cstheme="minorHAnsi"/>
        </w:rPr>
        <w:t>Από την έναρξη ισχύος του παρόντος καταργούνται:</w:t>
      </w:r>
    </w:p>
    <w:p w14:paraId="4365C9B6" w14:textId="44406731" w:rsidR="00506287" w:rsidRPr="000004E8" w:rsidRDefault="00506287" w:rsidP="00F357BF">
      <w:pPr>
        <w:pStyle w:val="a3"/>
        <w:numPr>
          <w:ilvl w:val="0"/>
          <w:numId w:val="1"/>
        </w:numPr>
        <w:spacing w:after="60" w:line="300" w:lineRule="auto"/>
        <w:contextualSpacing w:val="0"/>
        <w:jc w:val="both"/>
        <w:rPr>
          <w:rFonts w:cstheme="minorHAnsi"/>
        </w:rPr>
      </w:pPr>
      <w:r w:rsidRPr="000004E8">
        <w:rPr>
          <w:rFonts w:cstheme="minorHAnsi"/>
        </w:rPr>
        <w:t xml:space="preserve">Η παρ. 9 του </w:t>
      </w:r>
      <w:r w:rsidR="002D35DE" w:rsidRPr="000004E8">
        <w:rPr>
          <w:rFonts w:cstheme="minorHAnsi"/>
        </w:rPr>
        <w:t>άρθρου</w:t>
      </w:r>
      <w:r w:rsidRPr="000004E8">
        <w:rPr>
          <w:rFonts w:cstheme="minorHAnsi"/>
        </w:rPr>
        <w:t xml:space="preserve"> 148 του ν. 4001/2011 (Α΄ 179).</w:t>
      </w:r>
    </w:p>
    <w:p w14:paraId="32F81393" w14:textId="6DAF95EE" w:rsidR="00506287" w:rsidRPr="000004E8" w:rsidRDefault="00506287" w:rsidP="00F357BF">
      <w:pPr>
        <w:pStyle w:val="a3"/>
        <w:numPr>
          <w:ilvl w:val="0"/>
          <w:numId w:val="1"/>
        </w:numPr>
        <w:spacing w:after="60" w:line="300" w:lineRule="auto"/>
        <w:contextualSpacing w:val="0"/>
        <w:jc w:val="both"/>
        <w:rPr>
          <w:rFonts w:cstheme="minorHAnsi"/>
        </w:rPr>
      </w:pPr>
      <w:r w:rsidRPr="000004E8">
        <w:rPr>
          <w:rFonts w:cstheme="minorHAnsi"/>
        </w:rPr>
        <w:t xml:space="preserve">Το τρίτο εδάφιο της παρ. 1 του εσωτερικού </w:t>
      </w:r>
      <w:r w:rsidR="002D35DE" w:rsidRPr="000004E8">
        <w:rPr>
          <w:rFonts w:cstheme="minorHAnsi"/>
        </w:rPr>
        <w:t>άρθρου</w:t>
      </w:r>
      <w:r w:rsidRPr="000004E8">
        <w:rPr>
          <w:rFonts w:cstheme="minorHAnsi"/>
        </w:rPr>
        <w:t xml:space="preserve"> 10 του άρθρου πρώτου του π.δ. 14/2012 (Α΄ 21).</w:t>
      </w:r>
    </w:p>
    <w:p w14:paraId="7213BAAD" w14:textId="3EA10A3A" w:rsidR="00506287" w:rsidRPr="000004E8" w:rsidRDefault="00506287" w:rsidP="00F357BF">
      <w:pPr>
        <w:spacing w:line="300" w:lineRule="auto"/>
        <w:jc w:val="both"/>
        <w:rPr>
          <w:rFonts w:cstheme="minorHAnsi"/>
        </w:rPr>
      </w:pPr>
    </w:p>
    <w:p w14:paraId="43122019" w14:textId="4AF3C0F9" w:rsidR="00680574" w:rsidRPr="000004E8" w:rsidRDefault="00680574" w:rsidP="0026647A">
      <w:pPr>
        <w:spacing w:line="300" w:lineRule="auto"/>
        <w:jc w:val="center"/>
        <w:rPr>
          <w:rFonts w:cstheme="minorHAnsi"/>
          <w:b/>
        </w:rPr>
      </w:pPr>
      <w:r w:rsidRPr="000004E8">
        <w:rPr>
          <w:rFonts w:cstheme="minorHAnsi"/>
          <w:b/>
        </w:rPr>
        <w:t>Άρθρο 13</w:t>
      </w:r>
    </w:p>
    <w:p w14:paraId="043EFBFC" w14:textId="3B63BAA8" w:rsidR="00680574" w:rsidRPr="000004E8" w:rsidRDefault="00680574" w:rsidP="0026647A">
      <w:pPr>
        <w:spacing w:line="300" w:lineRule="auto"/>
        <w:jc w:val="center"/>
        <w:rPr>
          <w:rFonts w:cstheme="minorHAnsi"/>
          <w:b/>
        </w:rPr>
      </w:pPr>
      <w:r w:rsidRPr="000004E8">
        <w:rPr>
          <w:rFonts w:cstheme="minorHAnsi"/>
          <w:b/>
        </w:rPr>
        <w:t>Εξουσιοδοτικές διατάξεις</w:t>
      </w:r>
    </w:p>
    <w:p w14:paraId="5CA50A05" w14:textId="75C38988" w:rsidR="005F42F7" w:rsidRPr="000004E8" w:rsidRDefault="005F42F7" w:rsidP="005F42F7">
      <w:pPr>
        <w:pStyle w:val="a3"/>
        <w:numPr>
          <w:ilvl w:val="0"/>
          <w:numId w:val="9"/>
        </w:numPr>
        <w:spacing w:after="60" w:line="300" w:lineRule="auto"/>
        <w:jc w:val="both"/>
        <w:rPr>
          <w:rFonts w:eastAsia="Calibri" w:cstheme="minorHAnsi"/>
        </w:rPr>
      </w:pPr>
      <w:r w:rsidRPr="000004E8">
        <w:rPr>
          <w:rFonts w:eastAsia="Calibri" w:cstheme="minorHAnsi"/>
        </w:rPr>
        <w:t xml:space="preserve">Με προεδρικό διάταγμα που εκδίδεται μετά από πρόταση του Υπουργού Περιβάλλοντος και Ενέργειας, καθορίζονται εντός των Ζ.ΑΠ. χρήσεις γης, όροι και περιορισμοί δόμησης μέσω της εκπόνησης και έγκρισης Ειδικών Πολεοδομικών Σχεδίων (Ε.Π.Σ.) κατά τις διατάξεις του παρόντος </w:t>
      </w:r>
      <w:r w:rsidRPr="000004E8">
        <w:rPr>
          <w:rFonts w:cstheme="minorHAnsi"/>
        </w:rPr>
        <w:t xml:space="preserve">και σύμφωνα με τις κατευθύνσεις που παρέχει το </w:t>
      </w:r>
      <w:r w:rsidRPr="000004E8">
        <w:rPr>
          <w:rFonts w:eastAsia="Calibri" w:cstheme="minorHAnsi"/>
        </w:rPr>
        <w:t>Σχέδιο Δίκαιης Αναπτυξιακής Μετάβασης</w:t>
      </w:r>
      <w:r w:rsidRPr="000004E8">
        <w:rPr>
          <w:rFonts w:cstheme="minorHAnsi"/>
        </w:rPr>
        <w:t>.</w:t>
      </w:r>
    </w:p>
    <w:p w14:paraId="427E5C06" w14:textId="77777777" w:rsidR="005F42F7" w:rsidRPr="000004E8" w:rsidRDefault="005F42F7" w:rsidP="006E5818">
      <w:pPr>
        <w:pStyle w:val="a3"/>
        <w:spacing w:after="60" w:line="300" w:lineRule="auto"/>
        <w:jc w:val="both"/>
        <w:rPr>
          <w:rFonts w:eastAsia="Calibri" w:cstheme="minorHAnsi"/>
        </w:rPr>
      </w:pPr>
      <w:r w:rsidRPr="000004E8">
        <w:rPr>
          <w:rFonts w:eastAsia="Calibri" w:cstheme="minorHAnsi"/>
        </w:rPr>
        <w:t>Ειδικά για την εξέταση Ε.Π.Σ. της παρούσας, το Κεντρικό Συμβούλιο Πολεοδομικών Θεμάτων και Αμφισβητήσεων (Κ.Ε.Σ.Υ.Π.Ο.Θ.Α.) συνεδριάζει εντός δεκαπέντε (15) ημερών από την υποβολή σε αυτό του Ειδικού Πολεοδομικού Σχεδίου και αποφαίνεται εντός αποκλειστικής προθεσμίας δέκα (10) ημερών από τη συνεδρίαση.</w:t>
      </w:r>
    </w:p>
    <w:p w14:paraId="049D35D7" w14:textId="77777777" w:rsidR="005F42F7" w:rsidRPr="000004E8" w:rsidRDefault="005F42F7" w:rsidP="006E5818">
      <w:pPr>
        <w:pStyle w:val="a3"/>
        <w:spacing w:after="60" w:line="300" w:lineRule="auto"/>
        <w:jc w:val="both"/>
        <w:rPr>
          <w:rFonts w:eastAsia="Calibri" w:cstheme="minorHAnsi"/>
        </w:rPr>
      </w:pPr>
      <w:r w:rsidRPr="000004E8">
        <w:rPr>
          <w:rFonts w:eastAsia="Calibri" w:cstheme="minorHAnsi"/>
        </w:rPr>
        <w:t>Με απόφαση του Υπουργού Περιβάλλοντος και Ενέργειας ορίζονται ειδικές τεχνικές προδιαγραφές για την εκπόνηση των μελετών των Ειδικών Πολεοδομικών Σχεδίων (Ε.Π.Σ.) που αφορούν στις Ζ.ΑΠ. της παρ. 1.</w:t>
      </w:r>
    </w:p>
    <w:p w14:paraId="137ADD29" w14:textId="6980123A" w:rsidR="00680574" w:rsidRPr="006E5818" w:rsidRDefault="00680574" w:rsidP="006E5818">
      <w:pPr>
        <w:pStyle w:val="a3"/>
        <w:numPr>
          <w:ilvl w:val="0"/>
          <w:numId w:val="9"/>
        </w:numPr>
        <w:spacing w:after="60" w:line="300" w:lineRule="auto"/>
        <w:jc w:val="both"/>
        <w:rPr>
          <w:color w:val="000000"/>
        </w:rPr>
      </w:pPr>
      <w:r w:rsidRPr="006E5818">
        <w:rPr>
          <w:color w:val="000000"/>
        </w:rPr>
        <w:t xml:space="preserve">Με απόφαση του Υπουργού Περιβάλλοντος και Ενέργειας, η οποία εκδίδεται ετησίως, κατανέμονται και αποδίδονται τα έσοδα από την είσπραξη του πράσινου τέλους για τη </w:t>
      </w:r>
      <w:r w:rsidRPr="006E5818">
        <w:rPr>
          <w:color w:val="000000"/>
        </w:rPr>
        <w:lastRenderedPageBreak/>
        <w:t>χρηματοδότηση έργων και δράσεων της παρ. 4 του άρθρου 4 και καθορίζ</w:t>
      </w:r>
      <w:r w:rsidR="00393710">
        <w:rPr>
          <w:color w:val="000000"/>
        </w:rPr>
        <w:t>ον</w:t>
      </w:r>
      <w:r w:rsidRPr="006E5818">
        <w:rPr>
          <w:color w:val="000000"/>
        </w:rPr>
        <w:t>ται το ποσοστό των εσόδων, η διαδικασία κατανομής και απόδοσης τους. Με την ίδια απόφαση δύναται να αποδίδονται τα έσοδα ως πόροι του Ειδικού Λογαριασμού του άρθρου 143 του ν. 4001/2011</w:t>
      </w:r>
      <w:r w:rsidR="002D35DE" w:rsidRPr="006E5818">
        <w:rPr>
          <w:color w:val="000000"/>
        </w:rPr>
        <w:t xml:space="preserve"> (Α’ 179)</w:t>
      </w:r>
      <w:r w:rsidRPr="006E5818">
        <w:rPr>
          <w:color w:val="000000"/>
        </w:rPr>
        <w:t xml:space="preserve"> που τηρείται από τον </w:t>
      </w:r>
      <w:r w:rsidR="002D35DE" w:rsidRPr="006E5818">
        <w:rPr>
          <w:color w:val="000000"/>
        </w:rPr>
        <w:t>Δ</w:t>
      </w:r>
      <w:r w:rsidRPr="006E5818">
        <w:rPr>
          <w:color w:val="000000"/>
        </w:rPr>
        <w:t xml:space="preserve">ιαχειριστή </w:t>
      </w:r>
      <w:r w:rsidR="002D35DE" w:rsidRPr="006E5818">
        <w:rPr>
          <w:color w:val="000000"/>
        </w:rPr>
        <w:t>Α</w:t>
      </w:r>
      <w:r w:rsidRPr="006E5818">
        <w:rPr>
          <w:color w:val="000000"/>
        </w:rPr>
        <w:t xml:space="preserve">νανεώσιμων </w:t>
      </w:r>
      <w:r w:rsidR="002D35DE" w:rsidRPr="006E5818">
        <w:rPr>
          <w:color w:val="000000"/>
        </w:rPr>
        <w:t>Π</w:t>
      </w:r>
      <w:r w:rsidRPr="006E5818">
        <w:rPr>
          <w:color w:val="000000"/>
        </w:rPr>
        <w:t xml:space="preserve">ηγών </w:t>
      </w:r>
      <w:r w:rsidR="002D35DE" w:rsidRPr="006E5818">
        <w:rPr>
          <w:color w:val="000000"/>
        </w:rPr>
        <w:t>Ε</w:t>
      </w:r>
      <w:r w:rsidRPr="006E5818">
        <w:rPr>
          <w:color w:val="000000"/>
        </w:rPr>
        <w:t xml:space="preserve">νέργειας και </w:t>
      </w:r>
      <w:r w:rsidR="002D35DE" w:rsidRPr="006E5818">
        <w:rPr>
          <w:color w:val="000000"/>
        </w:rPr>
        <w:t>Ε</w:t>
      </w:r>
      <w:r w:rsidRPr="006E5818">
        <w:rPr>
          <w:color w:val="000000"/>
        </w:rPr>
        <w:t xml:space="preserve">γγυήσεων </w:t>
      </w:r>
      <w:r w:rsidR="002D35DE" w:rsidRPr="006E5818">
        <w:rPr>
          <w:color w:val="000000"/>
        </w:rPr>
        <w:t>Π</w:t>
      </w:r>
      <w:r w:rsidRPr="006E5818">
        <w:rPr>
          <w:color w:val="000000"/>
        </w:rPr>
        <w:t xml:space="preserve">ροέλευσης (Δ.Α.Π.Ε.Ε.Π. Α.Ε.) υπέρ του νομικού προσώπου δημοσίου δικαίου με την επωνυμία «Πράσινο Ταμείο» ή να καταβάλλονται για την αύξηση του μετοχικού κεφαλαίου της Δ.Α.Π.Ε.Ε.Π. Α.Ε. υπέρ του Ελληνικού Δημοσίου. Αρμόδια διεύθυνση για την υλοποίηση του παρόντος άρθρου ορίζεται η Διεύθυνση Κλιματικής Αλλαγής και Ποιότητας της Ατμόσφαιρας του Υπουργείου Περιβάλλοντος και Ενέργειας. </w:t>
      </w:r>
    </w:p>
    <w:p w14:paraId="29C46D5B" w14:textId="3B76778F" w:rsidR="00680574" w:rsidRPr="000004E8" w:rsidRDefault="00680574" w:rsidP="00F357BF">
      <w:pPr>
        <w:spacing w:line="300" w:lineRule="auto"/>
        <w:jc w:val="both"/>
        <w:rPr>
          <w:rFonts w:cstheme="minorHAnsi"/>
        </w:rPr>
      </w:pPr>
    </w:p>
    <w:p w14:paraId="4AD58A95" w14:textId="75786634" w:rsidR="00DB581F" w:rsidRPr="000004E8" w:rsidRDefault="00DB581F" w:rsidP="0026647A">
      <w:pPr>
        <w:spacing w:line="300" w:lineRule="auto"/>
        <w:jc w:val="center"/>
        <w:rPr>
          <w:rFonts w:cstheme="minorHAnsi"/>
          <w:b/>
        </w:rPr>
      </w:pPr>
      <w:r w:rsidRPr="000004E8">
        <w:rPr>
          <w:rFonts w:cstheme="minorHAnsi"/>
          <w:b/>
        </w:rPr>
        <w:t>Άρθρο 14</w:t>
      </w:r>
    </w:p>
    <w:p w14:paraId="26F5D054" w14:textId="14B5BC2C" w:rsidR="00DB581F" w:rsidRPr="000004E8" w:rsidRDefault="00DB581F" w:rsidP="0026647A">
      <w:pPr>
        <w:spacing w:line="300" w:lineRule="auto"/>
        <w:jc w:val="center"/>
        <w:rPr>
          <w:rFonts w:cstheme="minorHAnsi"/>
          <w:b/>
        </w:rPr>
      </w:pPr>
      <w:r w:rsidRPr="000004E8">
        <w:rPr>
          <w:rFonts w:cstheme="minorHAnsi"/>
          <w:b/>
        </w:rPr>
        <w:t>Καταργούμενες διατάξεις</w:t>
      </w:r>
    </w:p>
    <w:p w14:paraId="107DF11B" w14:textId="755C61A4" w:rsidR="00D132E8" w:rsidRPr="000004E8" w:rsidRDefault="00DB581F" w:rsidP="006E5818">
      <w:pPr>
        <w:spacing w:after="60" w:line="300" w:lineRule="auto"/>
        <w:jc w:val="both"/>
        <w:rPr>
          <w:rFonts w:cstheme="minorHAnsi"/>
        </w:rPr>
      </w:pPr>
      <w:r w:rsidRPr="000004E8">
        <w:rPr>
          <w:rFonts w:eastAsia="Times New Roman" w:cstheme="minorHAnsi"/>
          <w:bCs/>
          <w:iCs/>
        </w:rPr>
        <w:t xml:space="preserve">1. </w:t>
      </w:r>
      <w:r w:rsidR="00014D9D" w:rsidRPr="000004E8">
        <w:rPr>
          <w:rFonts w:cstheme="minorHAnsi"/>
        </w:rPr>
        <w:t>Το άρθρο 15 του ν. 4273/2014 (Α’ 146) καταργείται από την έναρξη ισχύος του παρόντος</w:t>
      </w:r>
      <w:r w:rsidR="00D132E8" w:rsidRPr="000004E8">
        <w:rPr>
          <w:rFonts w:cstheme="minorHAnsi"/>
        </w:rPr>
        <w:t>.</w:t>
      </w:r>
    </w:p>
    <w:p w14:paraId="3EA8943B" w14:textId="778A66F7" w:rsidR="00680574" w:rsidRPr="000004E8" w:rsidRDefault="00014D9D" w:rsidP="0026647A">
      <w:pPr>
        <w:spacing w:after="200" w:line="300" w:lineRule="auto"/>
        <w:jc w:val="both"/>
        <w:rPr>
          <w:rFonts w:eastAsia="Times New Roman" w:cstheme="minorHAnsi"/>
          <w:bCs/>
          <w:iCs/>
        </w:rPr>
      </w:pPr>
      <w:r w:rsidRPr="000004E8">
        <w:rPr>
          <w:rFonts w:eastAsia="Times New Roman" w:cstheme="minorHAnsi"/>
          <w:bCs/>
          <w:iCs/>
        </w:rPr>
        <w:t xml:space="preserve">2. </w:t>
      </w:r>
      <w:r w:rsidR="00DB581F" w:rsidRPr="000004E8">
        <w:rPr>
          <w:rFonts w:eastAsia="Times New Roman" w:cstheme="minorHAnsi"/>
          <w:bCs/>
          <w:iCs/>
        </w:rPr>
        <w:t>Τ</w:t>
      </w:r>
      <w:r w:rsidR="00680574" w:rsidRPr="000004E8">
        <w:rPr>
          <w:rFonts w:eastAsia="Times New Roman" w:cstheme="minorHAnsi"/>
          <w:bCs/>
          <w:iCs/>
        </w:rPr>
        <w:t>ο δεύτερο εδάφιο της υποπερ. αα) της περ. α της παρ. 3 του άρθρου 143 του ν. 4001/2011</w:t>
      </w:r>
      <w:r w:rsidR="002D35DE" w:rsidRPr="000004E8">
        <w:rPr>
          <w:rFonts w:eastAsia="Times New Roman" w:cstheme="minorHAnsi"/>
          <w:bCs/>
          <w:iCs/>
        </w:rPr>
        <w:t xml:space="preserve"> (Α’ 179)</w:t>
      </w:r>
      <w:r w:rsidR="00680574" w:rsidRPr="000004E8">
        <w:rPr>
          <w:rFonts w:eastAsia="Times New Roman" w:cstheme="minorHAnsi"/>
          <w:bCs/>
          <w:iCs/>
        </w:rPr>
        <w:t xml:space="preserve"> καταργείται</w:t>
      </w:r>
      <w:r w:rsidR="00DB581F" w:rsidRPr="000004E8">
        <w:rPr>
          <w:rFonts w:eastAsia="Times New Roman" w:cstheme="minorHAnsi"/>
          <w:bCs/>
          <w:iCs/>
        </w:rPr>
        <w:t xml:space="preserve"> από την 1</w:t>
      </w:r>
      <w:r w:rsidR="00393710">
        <w:rPr>
          <w:rFonts w:eastAsia="Times New Roman" w:cstheme="minorHAnsi"/>
          <w:bCs/>
          <w:iCs/>
        </w:rPr>
        <w:t>η</w:t>
      </w:r>
      <w:r w:rsidR="00DB581F" w:rsidRPr="000004E8">
        <w:rPr>
          <w:rFonts w:eastAsia="Times New Roman" w:cstheme="minorHAnsi"/>
          <w:bCs/>
          <w:iCs/>
        </w:rPr>
        <w:t>.1.2021</w:t>
      </w:r>
      <w:r w:rsidR="00680574" w:rsidRPr="000004E8">
        <w:rPr>
          <w:rFonts w:eastAsia="Times New Roman" w:cstheme="minorHAnsi"/>
          <w:bCs/>
          <w:iCs/>
        </w:rPr>
        <w:t>.</w:t>
      </w:r>
    </w:p>
    <w:p w14:paraId="3AED69BE" w14:textId="741AD161" w:rsidR="00680574" w:rsidRPr="000004E8" w:rsidRDefault="00D132E8" w:rsidP="00680574">
      <w:pPr>
        <w:spacing w:after="60" w:line="300" w:lineRule="auto"/>
        <w:jc w:val="both"/>
        <w:rPr>
          <w:rFonts w:cstheme="minorHAnsi"/>
          <w:color w:val="000000"/>
        </w:rPr>
      </w:pPr>
      <w:r w:rsidRPr="000004E8">
        <w:rPr>
          <w:rFonts w:cstheme="minorHAnsi"/>
          <w:color w:val="000000"/>
        </w:rPr>
        <w:t>3</w:t>
      </w:r>
      <w:r w:rsidR="00680574" w:rsidRPr="000004E8">
        <w:rPr>
          <w:rFonts w:cstheme="minorHAnsi"/>
          <w:color w:val="000000"/>
        </w:rPr>
        <w:t>. Οι παρ. 9 έως</w:t>
      </w:r>
      <w:r w:rsidR="00B461B1" w:rsidRPr="000004E8">
        <w:rPr>
          <w:rFonts w:cstheme="minorHAnsi"/>
          <w:color w:val="000000"/>
        </w:rPr>
        <w:t xml:space="preserve"> και</w:t>
      </w:r>
      <w:r w:rsidR="00DB581F" w:rsidRPr="000004E8">
        <w:rPr>
          <w:rFonts w:cstheme="minorHAnsi"/>
          <w:color w:val="000000"/>
        </w:rPr>
        <w:t xml:space="preserve"> </w:t>
      </w:r>
      <w:r w:rsidR="00680574" w:rsidRPr="000004E8">
        <w:rPr>
          <w:rFonts w:cstheme="minorHAnsi"/>
          <w:color w:val="000000"/>
        </w:rPr>
        <w:t>15 του άρθρου 7 του ν. 4414/2016</w:t>
      </w:r>
      <w:r w:rsidR="002D35DE" w:rsidRPr="000004E8">
        <w:rPr>
          <w:rFonts w:cstheme="minorHAnsi"/>
          <w:color w:val="000000"/>
        </w:rPr>
        <w:t xml:space="preserve"> (Α’ 149)</w:t>
      </w:r>
      <w:r w:rsidR="00680574" w:rsidRPr="000004E8">
        <w:rPr>
          <w:rFonts w:cstheme="minorHAnsi"/>
          <w:color w:val="000000"/>
        </w:rPr>
        <w:t xml:space="preserve"> καταργούνται</w:t>
      </w:r>
      <w:r w:rsidR="00DB581F" w:rsidRPr="000004E8">
        <w:rPr>
          <w:rFonts w:cstheme="minorHAnsi"/>
          <w:color w:val="000000"/>
        </w:rPr>
        <w:t xml:space="preserve"> από την έναρξη ισχύος του παρόντος</w:t>
      </w:r>
      <w:r w:rsidR="00680574" w:rsidRPr="000004E8">
        <w:rPr>
          <w:rFonts w:cstheme="minorHAnsi"/>
          <w:color w:val="000000"/>
        </w:rPr>
        <w:t>.</w:t>
      </w:r>
    </w:p>
    <w:p w14:paraId="40FE692D" w14:textId="77777777" w:rsidR="00680574" w:rsidRPr="000004E8" w:rsidRDefault="00680574" w:rsidP="00680574">
      <w:pPr>
        <w:spacing w:after="60" w:line="300" w:lineRule="auto"/>
        <w:jc w:val="both"/>
        <w:rPr>
          <w:rFonts w:cstheme="minorHAnsi"/>
        </w:rPr>
      </w:pPr>
    </w:p>
    <w:p w14:paraId="07719512" w14:textId="77777777" w:rsidR="00680574" w:rsidRPr="000004E8" w:rsidRDefault="00680574" w:rsidP="00680574">
      <w:pPr>
        <w:pStyle w:val="a3"/>
        <w:spacing w:after="200" w:line="300" w:lineRule="auto"/>
        <w:ind w:left="714"/>
        <w:jc w:val="both"/>
        <w:rPr>
          <w:rFonts w:eastAsia="Times New Roman" w:cstheme="minorHAnsi"/>
          <w:bCs/>
          <w:iCs/>
        </w:rPr>
      </w:pPr>
    </w:p>
    <w:p w14:paraId="49467A88" w14:textId="77777777" w:rsidR="00680574" w:rsidRDefault="00680574" w:rsidP="00F357BF">
      <w:pPr>
        <w:spacing w:line="300" w:lineRule="auto"/>
        <w:jc w:val="both"/>
        <w:rPr>
          <w:rFonts w:cstheme="minorHAnsi"/>
        </w:rPr>
      </w:pPr>
    </w:p>
    <w:p w14:paraId="3FD982F0" w14:textId="77777777" w:rsidR="00922165" w:rsidRDefault="00922165" w:rsidP="00F357BF">
      <w:pPr>
        <w:spacing w:line="300" w:lineRule="auto"/>
        <w:jc w:val="both"/>
        <w:rPr>
          <w:rFonts w:cstheme="minorHAnsi"/>
        </w:rPr>
      </w:pPr>
    </w:p>
    <w:p w14:paraId="1680FF6A" w14:textId="77777777" w:rsidR="00922165" w:rsidRDefault="00922165" w:rsidP="00F357BF">
      <w:pPr>
        <w:spacing w:line="300" w:lineRule="auto"/>
        <w:jc w:val="both"/>
        <w:rPr>
          <w:rFonts w:cstheme="minorHAnsi"/>
        </w:rPr>
      </w:pPr>
    </w:p>
    <w:p w14:paraId="6DD35142" w14:textId="77777777" w:rsidR="00922165" w:rsidRDefault="00922165" w:rsidP="00F357BF">
      <w:pPr>
        <w:spacing w:line="300" w:lineRule="auto"/>
        <w:jc w:val="both"/>
        <w:rPr>
          <w:rFonts w:cstheme="minorHAnsi"/>
        </w:rPr>
      </w:pPr>
    </w:p>
    <w:p w14:paraId="5EE14351" w14:textId="77777777" w:rsidR="00922165" w:rsidRDefault="00922165" w:rsidP="00F357BF">
      <w:pPr>
        <w:spacing w:line="300" w:lineRule="auto"/>
        <w:jc w:val="both"/>
        <w:rPr>
          <w:rFonts w:cstheme="minorHAnsi"/>
        </w:rPr>
      </w:pPr>
    </w:p>
    <w:p w14:paraId="02E05B76" w14:textId="77777777" w:rsidR="00922165" w:rsidRDefault="00922165" w:rsidP="00F357BF">
      <w:pPr>
        <w:spacing w:line="300" w:lineRule="auto"/>
        <w:jc w:val="both"/>
        <w:rPr>
          <w:rFonts w:cstheme="minorHAnsi"/>
        </w:rPr>
      </w:pPr>
    </w:p>
    <w:p w14:paraId="742179F5" w14:textId="77777777" w:rsidR="00922165" w:rsidRDefault="00922165" w:rsidP="00F357BF">
      <w:pPr>
        <w:spacing w:line="300" w:lineRule="auto"/>
        <w:jc w:val="both"/>
        <w:rPr>
          <w:rFonts w:cstheme="minorHAnsi"/>
        </w:rPr>
      </w:pPr>
    </w:p>
    <w:p w14:paraId="43509FC5" w14:textId="77777777" w:rsidR="00922165" w:rsidRDefault="00922165" w:rsidP="00F357BF">
      <w:pPr>
        <w:spacing w:line="300" w:lineRule="auto"/>
        <w:jc w:val="both"/>
        <w:rPr>
          <w:rFonts w:cstheme="minorHAnsi"/>
        </w:rPr>
      </w:pPr>
    </w:p>
    <w:p w14:paraId="2A98E322" w14:textId="77777777" w:rsidR="006C48AD" w:rsidRDefault="006C48AD" w:rsidP="00F357BF">
      <w:pPr>
        <w:spacing w:line="300" w:lineRule="auto"/>
        <w:jc w:val="both"/>
        <w:rPr>
          <w:rFonts w:cstheme="minorHAnsi"/>
        </w:rPr>
      </w:pPr>
    </w:p>
    <w:p w14:paraId="464E5C88" w14:textId="77777777" w:rsidR="006C48AD" w:rsidRDefault="006C48AD" w:rsidP="00F357BF">
      <w:pPr>
        <w:spacing w:line="300" w:lineRule="auto"/>
        <w:jc w:val="both"/>
        <w:rPr>
          <w:rFonts w:cstheme="minorHAnsi"/>
        </w:rPr>
      </w:pPr>
    </w:p>
    <w:p w14:paraId="47409B55" w14:textId="77777777" w:rsidR="006C48AD" w:rsidRDefault="006C48AD" w:rsidP="00F357BF">
      <w:pPr>
        <w:spacing w:line="300" w:lineRule="auto"/>
        <w:jc w:val="both"/>
        <w:rPr>
          <w:rFonts w:cstheme="minorHAnsi"/>
        </w:rPr>
      </w:pPr>
    </w:p>
    <w:p w14:paraId="45A3B1EF" w14:textId="77777777" w:rsidR="00922165" w:rsidRDefault="00922165" w:rsidP="00922165">
      <w:pPr>
        <w:spacing w:after="0" w:line="276" w:lineRule="auto"/>
        <w:jc w:val="right"/>
        <w:rPr>
          <w:rFonts w:cs="Calibri"/>
          <w:b/>
        </w:rPr>
      </w:pPr>
      <w:r>
        <w:rPr>
          <w:rFonts w:cs="Calibri"/>
          <w:b/>
        </w:rPr>
        <w:lastRenderedPageBreak/>
        <w:t>Αθήνα, 2 Δεκεμβρίου 2020</w:t>
      </w:r>
    </w:p>
    <w:p w14:paraId="33EDFB69" w14:textId="77777777" w:rsidR="00922165" w:rsidRDefault="00922165" w:rsidP="00922165">
      <w:pPr>
        <w:spacing w:after="0" w:line="276" w:lineRule="auto"/>
        <w:jc w:val="right"/>
        <w:rPr>
          <w:rFonts w:cs="Calibri"/>
          <w:b/>
        </w:rPr>
      </w:pPr>
    </w:p>
    <w:tbl>
      <w:tblPr>
        <w:tblStyle w:val="ac"/>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260"/>
        <w:gridCol w:w="3119"/>
      </w:tblGrid>
      <w:tr w:rsidR="00922165" w:rsidRPr="007264DD" w14:paraId="72064986" w14:textId="77777777" w:rsidTr="000C5598">
        <w:tc>
          <w:tcPr>
            <w:tcW w:w="3119" w:type="dxa"/>
          </w:tcPr>
          <w:p w14:paraId="4BD2BFF7" w14:textId="77777777" w:rsidR="00922165" w:rsidRPr="007264DD" w:rsidRDefault="00922165" w:rsidP="000C5598">
            <w:pPr>
              <w:suppressAutoHyphens/>
              <w:spacing w:line="276" w:lineRule="auto"/>
              <w:jc w:val="center"/>
              <w:rPr>
                <w:rFonts w:eastAsia="Droid Sans Fallback" w:cstheme="minorHAnsi"/>
                <w:kern w:val="1"/>
                <w:lang w:eastAsia="zh-CN" w:bidi="hi-IN"/>
              </w:rPr>
            </w:pPr>
            <w:r w:rsidRPr="007264DD">
              <w:rPr>
                <w:rFonts w:eastAsia="Droid Sans Fallback" w:cstheme="minorHAnsi"/>
                <w:b/>
                <w:kern w:val="1"/>
                <w:lang w:eastAsia="zh-CN" w:bidi="hi-IN"/>
              </w:rPr>
              <w:t>ΟΙΚΟΝΟΜΙΚΩΝ</w:t>
            </w:r>
          </w:p>
          <w:p w14:paraId="6F1B31E2"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01558C10"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49EAF716"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5615E673"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2136BED1"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4C432720" w14:textId="77777777" w:rsidR="00922165" w:rsidRPr="007264DD" w:rsidRDefault="00922165" w:rsidP="000C5598">
            <w:pPr>
              <w:spacing w:line="276" w:lineRule="auto"/>
              <w:jc w:val="center"/>
              <w:rPr>
                <w:rFonts w:cstheme="minorHAnsi"/>
                <w:b/>
              </w:rPr>
            </w:pPr>
            <w:r w:rsidRPr="007264DD">
              <w:rPr>
                <w:rFonts w:eastAsia="Droid Sans Fallback" w:cstheme="minorHAnsi"/>
                <w:kern w:val="1"/>
                <w:lang w:eastAsia="zh-CN" w:bidi="hi-IN"/>
              </w:rPr>
              <w:t>ΧΡΗΣΤΟΣ ΣΤΑΪΚΟΥΡΑΣ</w:t>
            </w:r>
          </w:p>
        </w:tc>
        <w:tc>
          <w:tcPr>
            <w:tcW w:w="3260" w:type="dxa"/>
          </w:tcPr>
          <w:p w14:paraId="4740D03D" w14:textId="77777777" w:rsidR="00922165" w:rsidRPr="007264DD" w:rsidRDefault="00922165" w:rsidP="000C5598">
            <w:pPr>
              <w:suppressAutoHyphens/>
              <w:spacing w:line="276" w:lineRule="auto"/>
              <w:jc w:val="center"/>
              <w:rPr>
                <w:rFonts w:eastAsia="Droid Sans Fallback" w:cstheme="minorHAnsi"/>
                <w:b/>
                <w:kern w:val="1"/>
                <w:lang w:eastAsia="zh-CN" w:bidi="hi-IN"/>
              </w:rPr>
            </w:pPr>
            <w:r w:rsidRPr="007264DD">
              <w:rPr>
                <w:rFonts w:eastAsia="Droid Sans Fallback" w:cstheme="minorHAnsi"/>
                <w:b/>
                <w:kern w:val="1"/>
                <w:lang w:eastAsia="zh-CN" w:bidi="hi-IN"/>
              </w:rPr>
              <w:t>ΑΝΑΠΤΥΞΗΣ ΚΑΙ ΕΠΕΝΔΥΣΕΩΝ</w:t>
            </w:r>
          </w:p>
          <w:p w14:paraId="1C81974B"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3295D7A3"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397E5551"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3E9BDABE"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7C238E73" w14:textId="77777777" w:rsidR="00922165" w:rsidRPr="007264DD" w:rsidRDefault="00922165" w:rsidP="000C5598">
            <w:pPr>
              <w:suppressAutoHyphens/>
              <w:spacing w:line="276" w:lineRule="auto"/>
              <w:jc w:val="center"/>
              <w:rPr>
                <w:rFonts w:eastAsia="Droid Sans Fallback" w:cstheme="minorHAnsi"/>
                <w:kern w:val="1"/>
                <w:lang w:eastAsia="zh-CN" w:bidi="hi-IN"/>
              </w:rPr>
            </w:pPr>
          </w:p>
          <w:p w14:paraId="7B1CD366" w14:textId="77777777" w:rsidR="00922165" w:rsidRPr="007264DD" w:rsidRDefault="00922165" w:rsidP="000C5598">
            <w:pPr>
              <w:suppressAutoHyphens/>
              <w:spacing w:line="276" w:lineRule="auto"/>
              <w:jc w:val="center"/>
              <w:rPr>
                <w:rFonts w:eastAsia="Droid Sans Fallback" w:cstheme="minorHAnsi"/>
                <w:kern w:val="1"/>
                <w:lang w:eastAsia="zh-CN" w:bidi="hi-IN"/>
              </w:rPr>
            </w:pPr>
            <w:r w:rsidRPr="007264DD">
              <w:rPr>
                <w:rFonts w:eastAsia="Droid Sans Fallback" w:cstheme="minorHAnsi"/>
                <w:kern w:val="1"/>
                <w:lang w:eastAsia="zh-CN" w:bidi="hi-IN"/>
              </w:rPr>
              <w:t>ΣΠΥΡΙΔΩΝ-ΑΔΩΝΙΣ</w:t>
            </w:r>
          </w:p>
          <w:p w14:paraId="1BE6F98D" w14:textId="77777777" w:rsidR="00922165" w:rsidRPr="007264DD" w:rsidRDefault="00922165" w:rsidP="000C5598">
            <w:pPr>
              <w:spacing w:line="276" w:lineRule="auto"/>
              <w:jc w:val="center"/>
              <w:rPr>
                <w:rFonts w:cstheme="minorHAnsi"/>
                <w:b/>
              </w:rPr>
            </w:pPr>
            <w:r w:rsidRPr="007264DD">
              <w:rPr>
                <w:rFonts w:eastAsia="Droid Sans Fallback" w:cstheme="minorHAnsi"/>
                <w:kern w:val="1"/>
                <w:lang w:eastAsia="zh-CN" w:bidi="hi-IN"/>
              </w:rPr>
              <w:t>ΓΕΩΡΓΙΑΔΗΣ</w:t>
            </w:r>
          </w:p>
        </w:tc>
        <w:tc>
          <w:tcPr>
            <w:tcW w:w="3119" w:type="dxa"/>
          </w:tcPr>
          <w:p w14:paraId="070055B1" w14:textId="77777777" w:rsidR="00922165" w:rsidRDefault="00922165" w:rsidP="000C5598">
            <w:pPr>
              <w:spacing w:line="276" w:lineRule="auto"/>
              <w:jc w:val="center"/>
              <w:rPr>
                <w:rFonts w:cstheme="minorHAnsi"/>
                <w:b/>
              </w:rPr>
            </w:pPr>
            <w:r>
              <w:rPr>
                <w:rFonts w:cstheme="minorHAnsi"/>
                <w:b/>
              </w:rPr>
              <w:t>ΕΞΩΤΕΡΙΚΩΝ</w:t>
            </w:r>
          </w:p>
          <w:p w14:paraId="32E41502" w14:textId="77777777" w:rsidR="00922165" w:rsidRDefault="00922165" w:rsidP="000C5598">
            <w:pPr>
              <w:spacing w:line="276" w:lineRule="auto"/>
              <w:jc w:val="center"/>
              <w:rPr>
                <w:rFonts w:cstheme="minorHAnsi"/>
                <w:b/>
              </w:rPr>
            </w:pPr>
          </w:p>
          <w:p w14:paraId="7306BFEC" w14:textId="77777777" w:rsidR="00922165" w:rsidRDefault="00922165" w:rsidP="000C5598">
            <w:pPr>
              <w:spacing w:line="276" w:lineRule="auto"/>
              <w:jc w:val="center"/>
              <w:rPr>
                <w:rFonts w:cstheme="minorHAnsi"/>
                <w:b/>
              </w:rPr>
            </w:pPr>
          </w:p>
          <w:p w14:paraId="64FDA489" w14:textId="77777777" w:rsidR="00922165" w:rsidRDefault="00922165" w:rsidP="000C5598">
            <w:pPr>
              <w:spacing w:line="276" w:lineRule="auto"/>
              <w:jc w:val="center"/>
              <w:rPr>
                <w:rFonts w:cstheme="minorHAnsi"/>
                <w:b/>
              </w:rPr>
            </w:pPr>
          </w:p>
          <w:p w14:paraId="719E19DF" w14:textId="77777777" w:rsidR="00922165" w:rsidRDefault="00922165" w:rsidP="000C5598">
            <w:pPr>
              <w:spacing w:line="276" w:lineRule="auto"/>
              <w:jc w:val="center"/>
              <w:rPr>
                <w:rFonts w:cstheme="minorHAnsi"/>
                <w:b/>
              </w:rPr>
            </w:pPr>
          </w:p>
          <w:p w14:paraId="595374C0" w14:textId="77777777" w:rsidR="00922165" w:rsidRDefault="00922165" w:rsidP="000C5598">
            <w:pPr>
              <w:spacing w:line="276" w:lineRule="auto"/>
              <w:jc w:val="center"/>
              <w:rPr>
                <w:rFonts w:cstheme="minorHAnsi"/>
                <w:b/>
              </w:rPr>
            </w:pPr>
          </w:p>
          <w:p w14:paraId="71B2C396" w14:textId="77777777" w:rsidR="00922165" w:rsidRPr="00AA1418" w:rsidRDefault="00922165" w:rsidP="000C5598">
            <w:pPr>
              <w:spacing w:line="276" w:lineRule="auto"/>
              <w:rPr>
                <w:rFonts w:cstheme="minorHAnsi"/>
              </w:rPr>
            </w:pPr>
            <w:r w:rsidRPr="007264DD">
              <w:rPr>
                <w:rFonts w:cstheme="minorHAnsi"/>
              </w:rPr>
              <w:t>ΝΙΚΟΛΑΟΣ – ΓΕΩΡΓΙΟΣ ΔΕΝΔΙΑΣ</w:t>
            </w:r>
          </w:p>
        </w:tc>
      </w:tr>
      <w:tr w:rsidR="00922165" w:rsidRPr="007264DD" w14:paraId="2454AC4C" w14:textId="77777777" w:rsidTr="000C5598">
        <w:tc>
          <w:tcPr>
            <w:tcW w:w="3119" w:type="dxa"/>
          </w:tcPr>
          <w:p w14:paraId="763F9994" w14:textId="77777777" w:rsidR="00922165" w:rsidRPr="007264DD" w:rsidRDefault="00922165" w:rsidP="000C5598">
            <w:pPr>
              <w:spacing w:line="276" w:lineRule="auto"/>
              <w:jc w:val="center"/>
              <w:rPr>
                <w:rFonts w:cstheme="minorHAnsi"/>
                <w:b/>
              </w:rPr>
            </w:pPr>
            <w:r w:rsidRPr="007264DD">
              <w:rPr>
                <w:rFonts w:cstheme="minorHAnsi"/>
                <w:b/>
              </w:rPr>
              <w:t>ΠΕΡΙΒΑΛΛΟΝΤΟΣ ΚΑΙ ΕΝΕΡΓΕΙΑΣ</w:t>
            </w:r>
          </w:p>
          <w:p w14:paraId="00F3C55F" w14:textId="77777777" w:rsidR="00922165" w:rsidRPr="007264DD" w:rsidRDefault="00922165" w:rsidP="000C5598">
            <w:pPr>
              <w:spacing w:line="276" w:lineRule="auto"/>
              <w:jc w:val="center"/>
              <w:rPr>
                <w:rFonts w:cstheme="minorHAnsi"/>
                <w:b/>
              </w:rPr>
            </w:pPr>
          </w:p>
          <w:p w14:paraId="22E771B4" w14:textId="77777777" w:rsidR="00922165" w:rsidRPr="007264DD" w:rsidRDefault="00922165" w:rsidP="000C5598">
            <w:pPr>
              <w:spacing w:line="276" w:lineRule="auto"/>
              <w:jc w:val="center"/>
              <w:rPr>
                <w:rFonts w:cstheme="minorHAnsi"/>
                <w:b/>
              </w:rPr>
            </w:pPr>
          </w:p>
          <w:p w14:paraId="2401D5F8" w14:textId="77777777" w:rsidR="00922165" w:rsidRPr="007264DD" w:rsidRDefault="00922165" w:rsidP="000C5598">
            <w:pPr>
              <w:spacing w:line="276" w:lineRule="auto"/>
              <w:jc w:val="center"/>
              <w:rPr>
                <w:rFonts w:cstheme="minorHAnsi"/>
              </w:rPr>
            </w:pPr>
          </w:p>
          <w:p w14:paraId="757A4652" w14:textId="77777777" w:rsidR="00922165" w:rsidRPr="007264DD" w:rsidRDefault="00922165" w:rsidP="000C5598">
            <w:pPr>
              <w:spacing w:line="276" w:lineRule="auto"/>
              <w:rPr>
                <w:rFonts w:cstheme="minorHAnsi"/>
              </w:rPr>
            </w:pPr>
          </w:p>
          <w:p w14:paraId="6EE8BB53" w14:textId="77777777" w:rsidR="00922165" w:rsidRPr="007264DD" w:rsidRDefault="00922165" w:rsidP="000C5598">
            <w:pPr>
              <w:suppressAutoHyphens/>
              <w:spacing w:line="276" w:lineRule="auto"/>
              <w:jc w:val="center"/>
              <w:rPr>
                <w:rFonts w:eastAsia="Droid Sans Fallback" w:cstheme="minorHAnsi"/>
                <w:b/>
                <w:kern w:val="1"/>
                <w:lang w:eastAsia="zh-CN" w:bidi="hi-IN"/>
              </w:rPr>
            </w:pPr>
            <w:r w:rsidRPr="007264DD">
              <w:rPr>
                <w:rFonts w:cstheme="minorHAnsi"/>
              </w:rPr>
              <w:t>ΚΩΝΣΤΑΝΤΙΝΟΣ ΧΑΤΖΗΔΑΚΗΣ</w:t>
            </w:r>
          </w:p>
          <w:p w14:paraId="7167473A" w14:textId="77777777" w:rsidR="00922165" w:rsidRPr="007264DD" w:rsidRDefault="00922165" w:rsidP="000C5598">
            <w:pPr>
              <w:spacing w:line="276" w:lineRule="auto"/>
              <w:jc w:val="center"/>
              <w:rPr>
                <w:rFonts w:cstheme="minorHAnsi"/>
                <w:b/>
              </w:rPr>
            </w:pPr>
          </w:p>
        </w:tc>
        <w:tc>
          <w:tcPr>
            <w:tcW w:w="3260" w:type="dxa"/>
          </w:tcPr>
          <w:p w14:paraId="22246173" w14:textId="77777777" w:rsidR="00922165" w:rsidRPr="007264DD" w:rsidRDefault="00922165" w:rsidP="000C5598">
            <w:pPr>
              <w:spacing w:line="276" w:lineRule="auto"/>
              <w:jc w:val="center"/>
              <w:rPr>
                <w:rFonts w:cstheme="minorHAnsi"/>
                <w:b/>
              </w:rPr>
            </w:pPr>
            <w:r w:rsidRPr="007264DD">
              <w:rPr>
                <w:rFonts w:cstheme="minorHAnsi"/>
                <w:b/>
              </w:rPr>
              <w:t>ΕΣΩΤΕΡΙΚΩΝ</w:t>
            </w:r>
          </w:p>
          <w:p w14:paraId="68BB4979" w14:textId="77777777" w:rsidR="00922165" w:rsidRPr="007264DD" w:rsidRDefault="00922165" w:rsidP="000C5598">
            <w:pPr>
              <w:spacing w:line="276" w:lineRule="auto"/>
              <w:jc w:val="center"/>
              <w:rPr>
                <w:rFonts w:cstheme="minorHAnsi"/>
                <w:b/>
              </w:rPr>
            </w:pPr>
          </w:p>
          <w:p w14:paraId="73FE98D8" w14:textId="77777777" w:rsidR="00922165" w:rsidRPr="007264DD" w:rsidRDefault="00922165" w:rsidP="000C5598">
            <w:pPr>
              <w:spacing w:line="276" w:lineRule="auto"/>
              <w:jc w:val="center"/>
              <w:rPr>
                <w:rFonts w:cstheme="minorHAnsi"/>
                <w:b/>
              </w:rPr>
            </w:pPr>
          </w:p>
          <w:p w14:paraId="093A9A45" w14:textId="77777777" w:rsidR="00922165" w:rsidRPr="007264DD" w:rsidRDefault="00922165" w:rsidP="000C5598">
            <w:pPr>
              <w:spacing w:line="276" w:lineRule="auto"/>
              <w:jc w:val="center"/>
              <w:rPr>
                <w:rFonts w:cstheme="minorHAnsi"/>
                <w:b/>
              </w:rPr>
            </w:pPr>
          </w:p>
          <w:p w14:paraId="283D1006" w14:textId="77777777" w:rsidR="00922165" w:rsidRPr="007264DD" w:rsidRDefault="00922165" w:rsidP="000C5598">
            <w:pPr>
              <w:spacing w:line="276" w:lineRule="auto"/>
              <w:jc w:val="center"/>
              <w:rPr>
                <w:rFonts w:cstheme="minorHAnsi"/>
                <w:b/>
              </w:rPr>
            </w:pPr>
          </w:p>
          <w:p w14:paraId="499C908B" w14:textId="77777777" w:rsidR="00922165" w:rsidRPr="007264DD" w:rsidRDefault="00922165" w:rsidP="000C5598">
            <w:pPr>
              <w:spacing w:line="276" w:lineRule="auto"/>
              <w:rPr>
                <w:rFonts w:cstheme="minorHAnsi"/>
              </w:rPr>
            </w:pPr>
          </w:p>
          <w:p w14:paraId="16620096" w14:textId="77777777" w:rsidR="00922165" w:rsidRPr="007264DD" w:rsidRDefault="00922165" w:rsidP="000C5598">
            <w:pPr>
              <w:spacing w:line="276" w:lineRule="auto"/>
              <w:jc w:val="center"/>
              <w:rPr>
                <w:rFonts w:cstheme="minorHAnsi"/>
                <w:b/>
              </w:rPr>
            </w:pPr>
            <w:r w:rsidRPr="007264DD">
              <w:rPr>
                <w:rFonts w:cstheme="minorHAnsi"/>
              </w:rPr>
              <w:t>ΠΑΝΑΓΙΩΤΗΣ ΘΕΟΔΩΡΙΚΑΚΟΣ</w:t>
            </w:r>
          </w:p>
          <w:p w14:paraId="48BD3709" w14:textId="77777777" w:rsidR="00922165" w:rsidRPr="007264DD" w:rsidRDefault="00922165" w:rsidP="000C5598">
            <w:pPr>
              <w:spacing w:line="276" w:lineRule="auto"/>
              <w:jc w:val="center"/>
              <w:rPr>
                <w:rFonts w:cstheme="minorHAnsi"/>
              </w:rPr>
            </w:pPr>
          </w:p>
        </w:tc>
        <w:tc>
          <w:tcPr>
            <w:tcW w:w="3119" w:type="dxa"/>
          </w:tcPr>
          <w:p w14:paraId="1DF5251F" w14:textId="77777777" w:rsidR="00922165" w:rsidRPr="007264DD" w:rsidRDefault="00922165" w:rsidP="000C5598">
            <w:pPr>
              <w:spacing w:line="276" w:lineRule="auto"/>
              <w:jc w:val="center"/>
              <w:rPr>
                <w:rFonts w:cstheme="minorHAnsi"/>
                <w:b/>
              </w:rPr>
            </w:pPr>
            <w:r w:rsidRPr="007264DD">
              <w:rPr>
                <w:rFonts w:cstheme="minorHAnsi"/>
                <w:b/>
              </w:rPr>
              <w:t>ΥΠΟΔΟΜΩΝ ΚΑΙ ΜΕΤΑΦΟΡΩΝ</w:t>
            </w:r>
          </w:p>
          <w:p w14:paraId="609DC95C" w14:textId="77777777" w:rsidR="00922165" w:rsidRPr="007264DD" w:rsidRDefault="00922165" w:rsidP="000C5598">
            <w:pPr>
              <w:spacing w:line="276" w:lineRule="auto"/>
              <w:jc w:val="center"/>
              <w:rPr>
                <w:rFonts w:cstheme="minorHAnsi"/>
                <w:b/>
              </w:rPr>
            </w:pPr>
          </w:p>
          <w:p w14:paraId="2042C9FB" w14:textId="77777777" w:rsidR="00922165" w:rsidRPr="007264DD" w:rsidRDefault="00922165" w:rsidP="000C5598">
            <w:pPr>
              <w:spacing w:line="276" w:lineRule="auto"/>
              <w:jc w:val="center"/>
              <w:rPr>
                <w:rFonts w:cstheme="minorHAnsi"/>
              </w:rPr>
            </w:pPr>
          </w:p>
          <w:p w14:paraId="3D4B69D1" w14:textId="77777777" w:rsidR="00922165" w:rsidRDefault="00922165" w:rsidP="000C5598">
            <w:pPr>
              <w:spacing w:line="276" w:lineRule="auto"/>
              <w:jc w:val="center"/>
              <w:rPr>
                <w:rFonts w:cstheme="minorHAnsi"/>
              </w:rPr>
            </w:pPr>
          </w:p>
          <w:p w14:paraId="11274348" w14:textId="77777777" w:rsidR="00922165" w:rsidRDefault="00922165" w:rsidP="000C5598">
            <w:pPr>
              <w:spacing w:line="276" w:lineRule="auto"/>
              <w:jc w:val="center"/>
              <w:rPr>
                <w:rFonts w:cstheme="minorHAnsi"/>
              </w:rPr>
            </w:pPr>
          </w:p>
          <w:p w14:paraId="2A4CD828" w14:textId="77777777" w:rsidR="00922165" w:rsidRPr="007264DD" w:rsidRDefault="00922165" w:rsidP="000C5598">
            <w:pPr>
              <w:spacing w:line="276" w:lineRule="auto"/>
              <w:jc w:val="center"/>
              <w:rPr>
                <w:rFonts w:cstheme="minorHAnsi"/>
              </w:rPr>
            </w:pPr>
          </w:p>
          <w:p w14:paraId="610D3672" w14:textId="77777777" w:rsidR="00922165" w:rsidRPr="007264DD" w:rsidRDefault="00922165" w:rsidP="000C5598">
            <w:pPr>
              <w:spacing w:line="276" w:lineRule="auto"/>
              <w:jc w:val="center"/>
              <w:rPr>
                <w:rFonts w:cstheme="minorHAnsi"/>
                <w:b/>
              </w:rPr>
            </w:pPr>
            <w:r w:rsidRPr="007264DD">
              <w:rPr>
                <w:rFonts w:cstheme="minorHAnsi"/>
              </w:rPr>
              <w:t>ΚΩΝΣΤΑΝΤΙΝΟΣ ΚΑΡΑΜΑΝΛΗΣ</w:t>
            </w:r>
          </w:p>
          <w:p w14:paraId="52EE8AEE" w14:textId="77777777" w:rsidR="00922165" w:rsidRPr="007264DD" w:rsidRDefault="00922165" w:rsidP="000C5598">
            <w:pPr>
              <w:spacing w:line="276" w:lineRule="auto"/>
              <w:jc w:val="center"/>
              <w:rPr>
                <w:rFonts w:cstheme="minorHAnsi"/>
              </w:rPr>
            </w:pPr>
          </w:p>
        </w:tc>
      </w:tr>
      <w:tr w:rsidR="00922165" w:rsidRPr="007264DD" w14:paraId="44A643B3" w14:textId="77777777" w:rsidTr="000C5598">
        <w:tc>
          <w:tcPr>
            <w:tcW w:w="3119" w:type="dxa"/>
          </w:tcPr>
          <w:p w14:paraId="5F629F4C" w14:textId="77777777" w:rsidR="00922165" w:rsidRPr="007264DD" w:rsidRDefault="00922165" w:rsidP="000C5598">
            <w:pPr>
              <w:spacing w:line="276" w:lineRule="auto"/>
              <w:jc w:val="center"/>
              <w:rPr>
                <w:rFonts w:cstheme="minorHAnsi"/>
                <w:b/>
              </w:rPr>
            </w:pPr>
          </w:p>
          <w:p w14:paraId="65860F95" w14:textId="77777777" w:rsidR="00922165" w:rsidRPr="007264DD" w:rsidRDefault="00922165" w:rsidP="000C5598">
            <w:pPr>
              <w:spacing w:line="276" w:lineRule="auto"/>
              <w:jc w:val="center"/>
              <w:rPr>
                <w:rFonts w:cstheme="minorHAnsi"/>
                <w:b/>
              </w:rPr>
            </w:pPr>
            <w:r w:rsidRPr="007264DD">
              <w:rPr>
                <w:rFonts w:cstheme="minorHAnsi"/>
                <w:b/>
              </w:rPr>
              <w:t>ΝΑΥΤΙΛΙΑΣ ΚΑΙ ΝΗΣΙΩΤΙΚΗΣ ΠΟΛΙΤΙΚΗΣ</w:t>
            </w:r>
          </w:p>
          <w:p w14:paraId="6310B353" w14:textId="77777777" w:rsidR="00922165" w:rsidRPr="007264DD" w:rsidRDefault="00922165" w:rsidP="000C5598">
            <w:pPr>
              <w:spacing w:line="276" w:lineRule="auto"/>
              <w:rPr>
                <w:rFonts w:cstheme="minorHAnsi"/>
                <w:b/>
              </w:rPr>
            </w:pPr>
          </w:p>
          <w:p w14:paraId="12BC5C15" w14:textId="77777777" w:rsidR="00922165" w:rsidRPr="007264DD" w:rsidRDefault="00922165" w:rsidP="000C5598">
            <w:pPr>
              <w:spacing w:line="276" w:lineRule="auto"/>
              <w:jc w:val="center"/>
              <w:rPr>
                <w:rFonts w:cstheme="minorHAnsi"/>
                <w:b/>
              </w:rPr>
            </w:pPr>
          </w:p>
          <w:p w14:paraId="5F255ECE" w14:textId="77777777" w:rsidR="00922165" w:rsidRDefault="00922165" w:rsidP="000C5598">
            <w:pPr>
              <w:spacing w:line="276" w:lineRule="auto"/>
              <w:jc w:val="center"/>
              <w:rPr>
                <w:rFonts w:cstheme="minorHAnsi"/>
              </w:rPr>
            </w:pPr>
          </w:p>
          <w:p w14:paraId="37B2E21F" w14:textId="77777777" w:rsidR="00922165" w:rsidRPr="007264DD" w:rsidRDefault="00922165" w:rsidP="000C5598">
            <w:pPr>
              <w:spacing w:line="276" w:lineRule="auto"/>
              <w:jc w:val="center"/>
              <w:rPr>
                <w:rFonts w:cstheme="minorHAnsi"/>
              </w:rPr>
            </w:pPr>
          </w:p>
          <w:p w14:paraId="64999E92" w14:textId="77777777" w:rsidR="00922165" w:rsidRPr="007264DD" w:rsidRDefault="00922165" w:rsidP="000C5598">
            <w:pPr>
              <w:spacing w:line="276" w:lineRule="auto"/>
              <w:rPr>
                <w:rFonts w:cstheme="minorHAnsi"/>
              </w:rPr>
            </w:pPr>
            <w:r w:rsidRPr="007264DD">
              <w:rPr>
                <w:rFonts w:cstheme="minorHAnsi"/>
              </w:rPr>
              <w:t xml:space="preserve">    ΙΩΑΝΝΗΣ ΠΛΑΚΙΩΤΑΚΗΣ</w:t>
            </w:r>
          </w:p>
          <w:p w14:paraId="746522AC" w14:textId="77777777" w:rsidR="00922165" w:rsidRPr="007264DD" w:rsidRDefault="00922165" w:rsidP="000C5598">
            <w:pPr>
              <w:spacing w:line="276" w:lineRule="auto"/>
              <w:jc w:val="center"/>
              <w:rPr>
                <w:rFonts w:cstheme="minorHAnsi"/>
              </w:rPr>
            </w:pPr>
          </w:p>
        </w:tc>
        <w:tc>
          <w:tcPr>
            <w:tcW w:w="3260" w:type="dxa"/>
          </w:tcPr>
          <w:p w14:paraId="66F0264E" w14:textId="77777777" w:rsidR="00922165" w:rsidRPr="007264DD" w:rsidRDefault="00922165" w:rsidP="000C5598">
            <w:pPr>
              <w:spacing w:line="276" w:lineRule="auto"/>
              <w:jc w:val="center"/>
              <w:rPr>
                <w:rFonts w:cstheme="minorHAnsi"/>
                <w:b/>
                <w:bCs/>
              </w:rPr>
            </w:pPr>
            <w:r w:rsidRPr="007264DD">
              <w:rPr>
                <w:rFonts w:cstheme="minorHAnsi"/>
                <w:b/>
                <w:bCs/>
              </w:rPr>
              <w:t xml:space="preserve">Ο ΑΝΑΠΛΗΡΩΤΗΣ                                    </w:t>
            </w:r>
          </w:p>
          <w:p w14:paraId="25FA6810" w14:textId="77777777" w:rsidR="00922165" w:rsidRPr="007264DD" w:rsidRDefault="00922165" w:rsidP="000C5598">
            <w:pPr>
              <w:spacing w:line="276" w:lineRule="auto"/>
              <w:jc w:val="center"/>
              <w:rPr>
                <w:rFonts w:cstheme="minorHAnsi"/>
              </w:rPr>
            </w:pPr>
            <w:r w:rsidRPr="007264DD">
              <w:rPr>
                <w:rFonts w:cstheme="minorHAnsi"/>
                <w:b/>
                <w:bCs/>
              </w:rPr>
              <w:t>ΥΠΟΥΡΓΟΣ ΟΙΚΟΝΟΜΙΚΩΝ</w:t>
            </w:r>
          </w:p>
          <w:p w14:paraId="1276EC9B" w14:textId="77777777" w:rsidR="00922165" w:rsidRPr="007264DD" w:rsidRDefault="00922165" w:rsidP="000C5598">
            <w:pPr>
              <w:spacing w:line="276" w:lineRule="auto"/>
              <w:jc w:val="center"/>
              <w:rPr>
                <w:rFonts w:cstheme="minorHAnsi"/>
              </w:rPr>
            </w:pPr>
          </w:p>
          <w:p w14:paraId="775FB206" w14:textId="77777777" w:rsidR="00922165" w:rsidRDefault="00922165" w:rsidP="000C5598">
            <w:pPr>
              <w:spacing w:line="276" w:lineRule="auto"/>
              <w:jc w:val="center"/>
              <w:rPr>
                <w:rFonts w:cstheme="minorHAnsi"/>
              </w:rPr>
            </w:pPr>
          </w:p>
          <w:p w14:paraId="2D3D8778" w14:textId="77777777" w:rsidR="00922165" w:rsidRPr="007264DD" w:rsidRDefault="00922165" w:rsidP="000C5598">
            <w:pPr>
              <w:spacing w:line="276" w:lineRule="auto"/>
              <w:jc w:val="center"/>
              <w:rPr>
                <w:rFonts w:cstheme="minorHAnsi"/>
              </w:rPr>
            </w:pPr>
          </w:p>
          <w:p w14:paraId="2C82C0AA" w14:textId="77777777" w:rsidR="00922165" w:rsidRPr="007264DD" w:rsidRDefault="00922165" w:rsidP="000C5598">
            <w:pPr>
              <w:spacing w:line="276" w:lineRule="auto"/>
              <w:rPr>
                <w:rFonts w:cstheme="minorHAnsi"/>
              </w:rPr>
            </w:pPr>
          </w:p>
          <w:p w14:paraId="2F260AD5" w14:textId="77777777" w:rsidR="00922165" w:rsidRPr="007264DD" w:rsidRDefault="00922165" w:rsidP="000C5598">
            <w:pPr>
              <w:spacing w:line="276" w:lineRule="auto"/>
              <w:jc w:val="center"/>
              <w:rPr>
                <w:rFonts w:cstheme="minorHAnsi"/>
              </w:rPr>
            </w:pPr>
          </w:p>
          <w:p w14:paraId="617A5562" w14:textId="77777777" w:rsidR="00922165" w:rsidRPr="007264DD" w:rsidRDefault="00922165" w:rsidP="000C5598">
            <w:pPr>
              <w:spacing w:line="276" w:lineRule="auto"/>
              <w:jc w:val="both"/>
              <w:rPr>
                <w:rFonts w:cstheme="minorHAnsi"/>
              </w:rPr>
            </w:pPr>
            <w:r w:rsidRPr="007264DD">
              <w:rPr>
                <w:rFonts w:cstheme="minorHAnsi"/>
              </w:rPr>
              <w:t xml:space="preserve">        ΘΕΟΔΩΡΟΣ ΣΚΥΛΑΚΑΚΗΣ</w:t>
            </w:r>
          </w:p>
          <w:p w14:paraId="2D2A7FCC" w14:textId="77777777" w:rsidR="00922165" w:rsidRPr="007264DD" w:rsidRDefault="00922165" w:rsidP="000C5598">
            <w:pPr>
              <w:spacing w:line="276" w:lineRule="auto"/>
              <w:jc w:val="center"/>
              <w:rPr>
                <w:rFonts w:cstheme="minorHAnsi"/>
                <w:b/>
              </w:rPr>
            </w:pPr>
          </w:p>
          <w:p w14:paraId="52757DDD" w14:textId="77777777" w:rsidR="00922165" w:rsidRPr="007264DD" w:rsidRDefault="00922165" w:rsidP="000C5598">
            <w:pPr>
              <w:spacing w:line="276" w:lineRule="auto"/>
              <w:jc w:val="center"/>
              <w:rPr>
                <w:rFonts w:cstheme="minorHAnsi"/>
              </w:rPr>
            </w:pPr>
          </w:p>
        </w:tc>
        <w:tc>
          <w:tcPr>
            <w:tcW w:w="3119" w:type="dxa"/>
          </w:tcPr>
          <w:p w14:paraId="006A6F71" w14:textId="77777777" w:rsidR="00922165" w:rsidRPr="0059228F" w:rsidRDefault="00922165" w:rsidP="000C5598">
            <w:pPr>
              <w:spacing w:line="276" w:lineRule="auto"/>
              <w:jc w:val="center"/>
              <w:rPr>
                <w:rFonts w:cstheme="minorHAnsi"/>
                <w:b/>
                <w:bCs/>
              </w:rPr>
            </w:pPr>
            <w:r w:rsidRPr="007264DD">
              <w:rPr>
                <w:rFonts w:cstheme="minorHAnsi"/>
                <w:b/>
                <w:bCs/>
              </w:rPr>
              <w:t>Ο ΑΝΑΠΛΗΡΩΤΗΣ</w:t>
            </w:r>
            <w:r>
              <w:rPr>
                <w:rFonts w:cstheme="minorHAnsi"/>
                <w:b/>
                <w:bCs/>
              </w:rPr>
              <w:t xml:space="preserve"> </w:t>
            </w:r>
            <w:r w:rsidRPr="007264DD">
              <w:rPr>
                <w:rFonts w:cstheme="minorHAnsi"/>
                <w:b/>
                <w:bCs/>
              </w:rPr>
              <w:t xml:space="preserve">ΥΠΟΥΡΓΟΣ </w:t>
            </w:r>
            <w:r>
              <w:rPr>
                <w:rFonts w:cstheme="minorHAnsi"/>
                <w:b/>
                <w:bCs/>
              </w:rPr>
              <w:t>ΑΝΑΠΤΥΞΗΣ ΚΑΙ ΕΠΕΝΔΥΣΕΩΝ</w:t>
            </w:r>
          </w:p>
          <w:p w14:paraId="0E41E199" w14:textId="77777777" w:rsidR="00922165" w:rsidRPr="007264DD" w:rsidRDefault="00922165" w:rsidP="000C5598">
            <w:pPr>
              <w:spacing w:line="276" w:lineRule="auto"/>
              <w:jc w:val="center"/>
              <w:rPr>
                <w:rFonts w:cstheme="minorHAnsi"/>
              </w:rPr>
            </w:pPr>
          </w:p>
          <w:p w14:paraId="1078701F" w14:textId="77777777" w:rsidR="00922165" w:rsidRDefault="00922165" w:rsidP="000C5598">
            <w:pPr>
              <w:spacing w:line="276" w:lineRule="auto"/>
              <w:jc w:val="center"/>
              <w:rPr>
                <w:rFonts w:cstheme="minorHAnsi"/>
              </w:rPr>
            </w:pPr>
          </w:p>
          <w:p w14:paraId="77720374" w14:textId="77777777" w:rsidR="00922165" w:rsidRPr="007264DD" w:rsidRDefault="00922165" w:rsidP="000C5598">
            <w:pPr>
              <w:spacing w:line="276" w:lineRule="auto"/>
              <w:jc w:val="center"/>
              <w:rPr>
                <w:rFonts w:cstheme="minorHAnsi"/>
              </w:rPr>
            </w:pPr>
          </w:p>
          <w:p w14:paraId="6BFB6572" w14:textId="77777777" w:rsidR="00922165" w:rsidRPr="007264DD" w:rsidRDefault="00922165" w:rsidP="000C5598">
            <w:pPr>
              <w:spacing w:line="276" w:lineRule="auto"/>
              <w:jc w:val="center"/>
              <w:rPr>
                <w:rFonts w:cstheme="minorHAnsi"/>
              </w:rPr>
            </w:pPr>
          </w:p>
          <w:p w14:paraId="266FC904" w14:textId="77777777" w:rsidR="00922165" w:rsidRDefault="00922165" w:rsidP="000C5598">
            <w:pPr>
              <w:spacing w:line="276" w:lineRule="auto"/>
              <w:jc w:val="center"/>
              <w:rPr>
                <w:rFonts w:cstheme="minorHAnsi"/>
              </w:rPr>
            </w:pPr>
          </w:p>
          <w:p w14:paraId="297F6902" w14:textId="77777777" w:rsidR="00922165" w:rsidRPr="007264DD" w:rsidRDefault="00922165" w:rsidP="000C5598">
            <w:pPr>
              <w:spacing w:line="276" w:lineRule="auto"/>
              <w:jc w:val="center"/>
              <w:rPr>
                <w:rFonts w:cstheme="minorHAnsi"/>
              </w:rPr>
            </w:pPr>
            <w:r>
              <w:rPr>
                <w:rFonts w:cstheme="minorHAnsi"/>
              </w:rPr>
              <w:t>ΝΙΚΟΛΑΟΣ ΠΑΠΑΘΑΝΑΣΗΣ</w:t>
            </w:r>
          </w:p>
          <w:p w14:paraId="17EC414E" w14:textId="77777777" w:rsidR="00922165" w:rsidRPr="007264DD" w:rsidRDefault="00922165" w:rsidP="000C5598">
            <w:pPr>
              <w:spacing w:line="276" w:lineRule="auto"/>
              <w:jc w:val="center"/>
              <w:rPr>
                <w:rFonts w:cstheme="minorHAnsi"/>
                <w:b/>
              </w:rPr>
            </w:pPr>
          </w:p>
          <w:p w14:paraId="5D91FD10" w14:textId="77777777" w:rsidR="00922165" w:rsidRPr="007264DD" w:rsidRDefault="00922165" w:rsidP="000C5598">
            <w:pPr>
              <w:spacing w:line="276" w:lineRule="auto"/>
              <w:jc w:val="center"/>
              <w:rPr>
                <w:rFonts w:cstheme="minorHAnsi"/>
              </w:rPr>
            </w:pPr>
          </w:p>
        </w:tc>
      </w:tr>
    </w:tbl>
    <w:p w14:paraId="398011A7" w14:textId="77777777" w:rsidR="00922165" w:rsidRPr="00871D16" w:rsidRDefault="00922165" w:rsidP="00922165">
      <w:pPr>
        <w:spacing w:after="0" w:line="276" w:lineRule="auto"/>
        <w:jc w:val="center"/>
        <w:rPr>
          <w:rFonts w:cs="Calibri"/>
          <w:b/>
        </w:rPr>
      </w:pPr>
    </w:p>
    <w:p w14:paraId="070E2B67" w14:textId="77777777" w:rsidR="00922165" w:rsidRPr="000004E8" w:rsidRDefault="00922165" w:rsidP="00F357BF">
      <w:pPr>
        <w:spacing w:line="300" w:lineRule="auto"/>
        <w:jc w:val="both"/>
        <w:rPr>
          <w:rFonts w:cstheme="minorHAnsi"/>
        </w:rPr>
      </w:pPr>
    </w:p>
    <w:sectPr w:rsidR="00922165" w:rsidRPr="000004E8" w:rsidSect="00B94F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AFFF0" w14:textId="77777777" w:rsidR="00573340" w:rsidRDefault="00573340" w:rsidP="007A09F3">
      <w:pPr>
        <w:spacing w:after="0" w:line="240" w:lineRule="auto"/>
      </w:pPr>
      <w:r>
        <w:separator/>
      </w:r>
    </w:p>
  </w:endnote>
  <w:endnote w:type="continuationSeparator" w:id="0">
    <w:p w14:paraId="6690C829" w14:textId="77777777" w:rsidR="00573340" w:rsidRDefault="00573340" w:rsidP="007A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Droid Sans Fallback">
    <w:altName w:val="Times New Roman"/>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6494"/>
      <w:docPartObj>
        <w:docPartGallery w:val="Page Numbers (Bottom of Page)"/>
        <w:docPartUnique/>
      </w:docPartObj>
    </w:sdtPr>
    <w:sdtEndPr>
      <w:rPr>
        <w:noProof/>
      </w:rPr>
    </w:sdtEndPr>
    <w:sdtContent>
      <w:p w14:paraId="0C27B46A" w14:textId="73EFF6B7" w:rsidR="00374515" w:rsidRDefault="00374515">
        <w:pPr>
          <w:pStyle w:val="aa"/>
          <w:jc w:val="right"/>
        </w:pPr>
        <w:r>
          <w:fldChar w:fldCharType="begin"/>
        </w:r>
        <w:r>
          <w:instrText xml:space="preserve"> PAGE   \* MERGEFORMAT </w:instrText>
        </w:r>
        <w:r>
          <w:fldChar w:fldCharType="separate"/>
        </w:r>
        <w:r w:rsidR="00485212">
          <w:rPr>
            <w:noProof/>
          </w:rPr>
          <w:t>2</w:t>
        </w:r>
        <w:r>
          <w:rPr>
            <w:noProof/>
          </w:rPr>
          <w:fldChar w:fldCharType="end"/>
        </w:r>
      </w:p>
    </w:sdtContent>
  </w:sdt>
  <w:p w14:paraId="6A40F81C" w14:textId="77777777" w:rsidR="00374515" w:rsidRDefault="0037451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A037" w14:textId="77777777" w:rsidR="00573340" w:rsidRDefault="00573340" w:rsidP="007A09F3">
      <w:pPr>
        <w:spacing w:after="0" w:line="240" w:lineRule="auto"/>
      </w:pPr>
      <w:r>
        <w:separator/>
      </w:r>
    </w:p>
  </w:footnote>
  <w:footnote w:type="continuationSeparator" w:id="0">
    <w:p w14:paraId="1E325DE8" w14:textId="77777777" w:rsidR="00573340" w:rsidRDefault="00573340" w:rsidP="007A0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1F0"/>
    <w:multiLevelType w:val="hybridMultilevel"/>
    <w:tmpl w:val="0D50192A"/>
    <w:lvl w:ilvl="0" w:tplc="DB68BFD6">
      <w:start w:val="1"/>
      <w:numFmt w:val="decimal"/>
      <w:lvlText w:val="%1."/>
      <w:lvlJc w:val="left"/>
      <w:pPr>
        <w:ind w:left="142" w:hanging="360"/>
      </w:pPr>
      <w:rPr>
        <w:rFonts w:hint="default"/>
      </w:rPr>
    </w:lvl>
    <w:lvl w:ilvl="1" w:tplc="04080019" w:tentative="1">
      <w:start w:val="1"/>
      <w:numFmt w:val="lowerLetter"/>
      <w:lvlText w:val="%2."/>
      <w:lvlJc w:val="left"/>
      <w:pPr>
        <w:ind w:left="862" w:hanging="360"/>
      </w:pPr>
    </w:lvl>
    <w:lvl w:ilvl="2" w:tplc="0408001B" w:tentative="1">
      <w:start w:val="1"/>
      <w:numFmt w:val="lowerRoman"/>
      <w:lvlText w:val="%3."/>
      <w:lvlJc w:val="right"/>
      <w:pPr>
        <w:ind w:left="1582" w:hanging="180"/>
      </w:pPr>
    </w:lvl>
    <w:lvl w:ilvl="3" w:tplc="0408000F" w:tentative="1">
      <w:start w:val="1"/>
      <w:numFmt w:val="decimal"/>
      <w:lvlText w:val="%4."/>
      <w:lvlJc w:val="left"/>
      <w:pPr>
        <w:ind w:left="2302" w:hanging="360"/>
      </w:pPr>
    </w:lvl>
    <w:lvl w:ilvl="4" w:tplc="04080019" w:tentative="1">
      <w:start w:val="1"/>
      <w:numFmt w:val="lowerLetter"/>
      <w:lvlText w:val="%5."/>
      <w:lvlJc w:val="left"/>
      <w:pPr>
        <w:ind w:left="3022" w:hanging="360"/>
      </w:pPr>
    </w:lvl>
    <w:lvl w:ilvl="5" w:tplc="0408001B" w:tentative="1">
      <w:start w:val="1"/>
      <w:numFmt w:val="lowerRoman"/>
      <w:lvlText w:val="%6."/>
      <w:lvlJc w:val="right"/>
      <w:pPr>
        <w:ind w:left="3742" w:hanging="180"/>
      </w:pPr>
    </w:lvl>
    <w:lvl w:ilvl="6" w:tplc="0408000F" w:tentative="1">
      <w:start w:val="1"/>
      <w:numFmt w:val="decimal"/>
      <w:lvlText w:val="%7."/>
      <w:lvlJc w:val="left"/>
      <w:pPr>
        <w:ind w:left="4462" w:hanging="360"/>
      </w:pPr>
    </w:lvl>
    <w:lvl w:ilvl="7" w:tplc="04080019" w:tentative="1">
      <w:start w:val="1"/>
      <w:numFmt w:val="lowerLetter"/>
      <w:lvlText w:val="%8."/>
      <w:lvlJc w:val="left"/>
      <w:pPr>
        <w:ind w:left="5182" w:hanging="360"/>
      </w:pPr>
    </w:lvl>
    <w:lvl w:ilvl="8" w:tplc="0408001B" w:tentative="1">
      <w:start w:val="1"/>
      <w:numFmt w:val="lowerRoman"/>
      <w:lvlText w:val="%9."/>
      <w:lvlJc w:val="right"/>
      <w:pPr>
        <w:ind w:left="5902" w:hanging="180"/>
      </w:pPr>
    </w:lvl>
  </w:abstractNum>
  <w:abstractNum w:abstractNumId="1" w15:restartNumberingAfterBreak="0">
    <w:nsid w:val="138E6CC6"/>
    <w:multiLevelType w:val="hybridMultilevel"/>
    <w:tmpl w:val="606C63E0"/>
    <w:lvl w:ilvl="0" w:tplc="1076D9A0">
      <w:start w:val="1"/>
      <w:numFmt w:val="decimal"/>
      <w:lvlText w:val="%1."/>
      <w:lvlJc w:val="left"/>
      <w:pPr>
        <w:ind w:left="720" w:hanging="360"/>
      </w:pPr>
      <w:rPr>
        <w:rFonts w:asciiTheme="minorHAnsi" w:eastAsiaTheme="minorHAnsi" w:hAnsiTheme="minorHAnsi" w:cs="Calibr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C40256"/>
    <w:multiLevelType w:val="hybridMultilevel"/>
    <w:tmpl w:val="B8A40548"/>
    <w:lvl w:ilvl="0" w:tplc="D916BC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94C6F"/>
    <w:multiLevelType w:val="hybridMultilevel"/>
    <w:tmpl w:val="CE1A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336F6"/>
    <w:multiLevelType w:val="hybridMultilevel"/>
    <w:tmpl w:val="5E24E028"/>
    <w:lvl w:ilvl="0" w:tplc="04080001">
      <w:start w:val="1"/>
      <w:numFmt w:val="bullet"/>
      <w:lvlText w:val=""/>
      <w:lvlJc w:val="left"/>
      <w:pPr>
        <w:ind w:left="1074" w:hanging="360"/>
      </w:pPr>
      <w:rPr>
        <w:rFonts w:ascii="Symbol" w:hAnsi="Symbol" w:hint="default"/>
      </w:rPr>
    </w:lvl>
    <w:lvl w:ilvl="1" w:tplc="04080003" w:tentative="1">
      <w:start w:val="1"/>
      <w:numFmt w:val="bullet"/>
      <w:lvlText w:val="o"/>
      <w:lvlJc w:val="left"/>
      <w:pPr>
        <w:ind w:left="1794" w:hanging="360"/>
      </w:pPr>
      <w:rPr>
        <w:rFonts w:ascii="Courier New" w:hAnsi="Courier New" w:cs="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cs="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cs="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5" w15:restartNumberingAfterBreak="0">
    <w:nsid w:val="55920183"/>
    <w:multiLevelType w:val="hybridMultilevel"/>
    <w:tmpl w:val="FCCCA5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68206709"/>
    <w:multiLevelType w:val="hybridMultilevel"/>
    <w:tmpl w:val="A60A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0006C"/>
    <w:multiLevelType w:val="hybridMultilevel"/>
    <w:tmpl w:val="40D2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7"/>
    <w:rsid w:val="000004E8"/>
    <w:rsid w:val="0001099F"/>
    <w:rsid w:val="00014963"/>
    <w:rsid w:val="00014D9D"/>
    <w:rsid w:val="000218B3"/>
    <w:rsid w:val="00026444"/>
    <w:rsid w:val="00030E85"/>
    <w:rsid w:val="00034298"/>
    <w:rsid w:val="000359D6"/>
    <w:rsid w:val="000437B6"/>
    <w:rsid w:val="000447AC"/>
    <w:rsid w:val="00052BE8"/>
    <w:rsid w:val="00064209"/>
    <w:rsid w:val="00064681"/>
    <w:rsid w:val="00064C33"/>
    <w:rsid w:val="00071E48"/>
    <w:rsid w:val="00074EE8"/>
    <w:rsid w:val="0009086F"/>
    <w:rsid w:val="00094456"/>
    <w:rsid w:val="000A1542"/>
    <w:rsid w:val="000A5EE1"/>
    <w:rsid w:val="000A63BD"/>
    <w:rsid w:val="000B4F26"/>
    <w:rsid w:val="000C0221"/>
    <w:rsid w:val="000C7679"/>
    <w:rsid w:val="000D3BBD"/>
    <w:rsid w:val="000D4B3E"/>
    <w:rsid w:val="000D7214"/>
    <w:rsid w:val="00105661"/>
    <w:rsid w:val="00105AE8"/>
    <w:rsid w:val="00107172"/>
    <w:rsid w:val="00107FFA"/>
    <w:rsid w:val="00124645"/>
    <w:rsid w:val="00125C5F"/>
    <w:rsid w:val="0013164E"/>
    <w:rsid w:val="00143712"/>
    <w:rsid w:val="001475A5"/>
    <w:rsid w:val="001573B8"/>
    <w:rsid w:val="001726ED"/>
    <w:rsid w:val="00172BCA"/>
    <w:rsid w:val="0017396C"/>
    <w:rsid w:val="0017649F"/>
    <w:rsid w:val="00180EAC"/>
    <w:rsid w:val="0018326C"/>
    <w:rsid w:val="00191590"/>
    <w:rsid w:val="0019198B"/>
    <w:rsid w:val="00194C24"/>
    <w:rsid w:val="001A04A9"/>
    <w:rsid w:val="001A6E98"/>
    <w:rsid w:val="001C3B7C"/>
    <w:rsid w:val="001C446F"/>
    <w:rsid w:val="001C5845"/>
    <w:rsid w:val="001C64CE"/>
    <w:rsid w:val="001C6CC4"/>
    <w:rsid w:val="001C77F7"/>
    <w:rsid w:val="001D6FEC"/>
    <w:rsid w:val="001E11EF"/>
    <w:rsid w:val="001E5DF1"/>
    <w:rsid w:val="001F2BCD"/>
    <w:rsid w:val="001F4E4B"/>
    <w:rsid w:val="0020706F"/>
    <w:rsid w:val="002179E1"/>
    <w:rsid w:val="0022348A"/>
    <w:rsid w:val="0022556C"/>
    <w:rsid w:val="002265D3"/>
    <w:rsid w:val="00234AAC"/>
    <w:rsid w:val="00237B23"/>
    <w:rsid w:val="002500FA"/>
    <w:rsid w:val="00254F54"/>
    <w:rsid w:val="00255A8A"/>
    <w:rsid w:val="0026647A"/>
    <w:rsid w:val="00274033"/>
    <w:rsid w:val="00280145"/>
    <w:rsid w:val="002832F3"/>
    <w:rsid w:val="002876FD"/>
    <w:rsid w:val="002B6FAF"/>
    <w:rsid w:val="002D35DE"/>
    <w:rsid w:val="002D3A6B"/>
    <w:rsid w:val="002D3BB1"/>
    <w:rsid w:val="002D711D"/>
    <w:rsid w:val="002D793B"/>
    <w:rsid w:val="002E4FB0"/>
    <w:rsid w:val="002E6204"/>
    <w:rsid w:val="002E6A06"/>
    <w:rsid w:val="002F142A"/>
    <w:rsid w:val="003036F8"/>
    <w:rsid w:val="00311E01"/>
    <w:rsid w:val="00312ECD"/>
    <w:rsid w:val="00321218"/>
    <w:rsid w:val="00350AF9"/>
    <w:rsid w:val="00355B25"/>
    <w:rsid w:val="003569A8"/>
    <w:rsid w:val="003600A0"/>
    <w:rsid w:val="0037097D"/>
    <w:rsid w:val="00373265"/>
    <w:rsid w:val="00374515"/>
    <w:rsid w:val="00384750"/>
    <w:rsid w:val="00390570"/>
    <w:rsid w:val="00393710"/>
    <w:rsid w:val="0039686A"/>
    <w:rsid w:val="003979ED"/>
    <w:rsid w:val="003A08EC"/>
    <w:rsid w:val="003C2E94"/>
    <w:rsid w:val="003C6114"/>
    <w:rsid w:val="003C6F2A"/>
    <w:rsid w:val="003D7776"/>
    <w:rsid w:val="003E18A7"/>
    <w:rsid w:val="003E3B79"/>
    <w:rsid w:val="003E6514"/>
    <w:rsid w:val="00402AB0"/>
    <w:rsid w:val="00404656"/>
    <w:rsid w:val="0041070B"/>
    <w:rsid w:val="0042545A"/>
    <w:rsid w:val="00426D4B"/>
    <w:rsid w:val="004528C8"/>
    <w:rsid w:val="00465858"/>
    <w:rsid w:val="00465E28"/>
    <w:rsid w:val="00465EAC"/>
    <w:rsid w:val="004835B4"/>
    <w:rsid w:val="00485212"/>
    <w:rsid w:val="00485F37"/>
    <w:rsid w:val="00487645"/>
    <w:rsid w:val="00496281"/>
    <w:rsid w:val="004A1EAA"/>
    <w:rsid w:val="004B48C6"/>
    <w:rsid w:val="004D6F23"/>
    <w:rsid w:val="004D723F"/>
    <w:rsid w:val="004D7F44"/>
    <w:rsid w:val="004E2960"/>
    <w:rsid w:val="004E2B46"/>
    <w:rsid w:val="004F07F0"/>
    <w:rsid w:val="004F6216"/>
    <w:rsid w:val="00502265"/>
    <w:rsid w:val="00503AF1"/>
    <w:rsid w:val="00506287"/>
    <w:rsid w:val="00520CA3"/>
    <w:rsid w:val="005226F1"/>
    <w:rsid w:val="005609CF"/>
    <w:rsid w:val="005618F9"/>
    <w:rsid w:val="00563C32"/>
    <w:rsid w:val="0056522C"/>
    <w:rsid w:val="00566088"/>
    <w:rsid w:val="00573340"/>
    <w:rsid w:val="005741B6"/>
    <w:rsid w:val="00576836"/>
    <w:rsid w:val="005800C9"/>
    <w:rsid w:val="00594E71"/>
    <w:rsid w:val="005A347D"/>
    <w:rsid w:val="005A754F"/>
    <w:rsid w:val="005B1378"/>
    <w:rsid w:val="005B2C8D"/>
    <w:rsid w:val="005B62E3"/>
    <w:rsid w:val="005B7E2F"/>
    <w:rsid w:val="005C2495"/>
    <w:rsid w:val="005C61A8"/>
    <w:rsid w:val="005C6B70"/>
    <w:rsid w:val="005C7BC8"/>
    <w:rsid w:val="005F1028"/>
    <w:rsid w:val="005F42F7"/>
    <w:rsid w:val="00602D8E"/>
    <w:rsid w:val="00607184"/>
    <w:rsid w:val="00607D94"/>
    <w:rsid w:val="00612F0C"/>
    <w:rsid w:val="006163F8"/>
    <w:rsid w:val="006234E0"/>
    <w:rsid w:val="006244EC"/>
    <w:rsid w:val="00635F4A"/>
    <w:rsid w:val="0065227C"/>
    <w:rsid w:val="00653447"/>
    <w:rsid w:val="00654237"/>
    <w:rsid w:val="00666B87"/>
    <w:rsid w:val="00667C74"/>
    <w:rsid w:val="006724B1"/>
    <w:rsid w:val="0067396F"/>
    <w:rsid w:val="00675562"/>
    <w:rsid w:val="00680574"/>
    <w:rsid w:val="00684C7D"/>
    <w:rsid w:val="0068696B"/>
    <w:rsid w:val="00696AE0"/>
    <w:rsid w:val="006A4585"/>
    <w:rsid w:val="006A7921"/>
    <w:rsid w:val="006B0036"/>
    <w:rsid w:val="006B2DEB"/>
    <w:rsid w:val="006B7F4B"/>
    <w:rsid w:val="006C26D3"/>
    <w:rsid w:val="006C29A5"/>
    <w:rsid w:val="006C48AD"/>
    <w:rsid w:val="006C643F"/>
    <w:rsid w:val="006D02E7"/>
    <w:rsid w:val="006E5818"/>
    <w:rsid w:val="006F5CB9"/>
    <w:rsid w:val="00702DE2"/>
    <w:rsid w:val="007031F6"/>
    <w:rsid w:val="0070795B"/>
    <w:rsid w:val="00710663"/>
    <w:rsid w:val="00717C8D"/>
    <w:rsid w:val="00723EB7"/>
    <w:rsid w:val="00725835"/>
    <w:rsid w:val="00750A3C"/>
    <w:rsid w:val="007626EB"/>
    <w:rsid w:val="00764895"/>
    <w:rsid w:val="00764931"/>
    <w:rsid w:val="00765C41"/>
    <w:rsid w:val="00790861"/>
    <w:rsid w:val="00793DAC"/>
    <w:rsid w:val="007A09F3"/>
    <w:rsid w:val="007A1EBE"/>
    <w:rsid w:val="007B552F"/>
    <w:rsid w:val="007C1504"/>
    <w:rsid w:val="007F0A35"/>
    <w:rsid w:val="007F5320"/>
    <w:rsid w:val="007F6368"/>
    <w:rsid w:val="00802A6D"/>
    <w:rsid w:val="00802FE1"/>
    <w:rsid w:val="008147C5"/>
    <w:rsid w:val="00822B24"/>
    <w:rsid w:val="00825DAC"/>
    <w:rsid w:val="00826F47"/>
    <w:rsid w:val="0083232D"/>
    <w:rsid w:val="008359BF"/>
    <w:rsid w:val="0084079C"/>
    <w:rsid w:val="008435D7"/>
    <w:rsid w:val="008454F6"/>
    <w:rsid w:val="0085293D"/>
    <w:rsid w:val="00860BDA"/>
    <w:rsid w:val="00862DC8"/>
    <w:rsid w:val="00863F1A"/>
    <w:rsid w:val="00866379"/>
    <w:rsid w:val="00866F75"/>
    <w:rsid w:val="008700F8"/>
    <w:rsid w:val="00870F5F"/>
    <w:rsid w:val="008747E5"/>
    <w:rsid w:val="008766F3"/>
    <w:rsid w:val="00882881"/>
    <w:rsid w:val="00890038"/>
    <w:rsid w:val="00891E63"/>
    <w:rsid w:val="008929B0"/>
    <w:rsid w:val="00896C01"/>
    <w:rsid w:val="00897A2B"/>
    <w:rsid w:val="008A578C"/>
    <w:rsid w:val="008A742D"/>
    <w:rsid w:val="008B313E"/>
    <w:rsid w:val="008B3158"/>
    <w:rsid w:val="008B482E"/>
    <w:rsid w:val="008B5D40"/>
    <w:rsid w:val="008C015F"/>
    <w:rsid w:val="008C1615"/>
    <w:rsid w:val="008C2355"/>
    <w:rsid w:val="008C279F"/>
    <w:rsid w:val="008D4A2B"/>
    <w:rsid w:val="008D7447"/>
    <w:rsid w:val="008E0F70"/>
    <w:rsid w:val="008E14AD"/>
    <w:rsid w:val="008E1E9A"/>
    <w:rsid w:val="008F794B"/>
    <w:rsid w:val="0090354E"/>
    <w:rsid w:val="00906169"/>
    <w:rsid w:val="00917BA2"/>
    <w:rsid w:val="009203CF"/>
    <w:rsid w:val="009216E6"/>
    <w:rsid w:val="00922165"/>
    <w:rsid w:val="009277CB"/>
    <w:rsid w:val="00932573"/>
    <w:rsid w:val="00933F54"/>
    <w:rsid w:val="00947F32"/>
    <w:rsid w:val="00957E0D"/>
    <w:rsid w:val="00961AC1"/>
    <w:rsid w:val="00980268"/>
    <w:rsid w:val="00990979"/>
    <w:rsid w:val="0099702B"/>
    <w:rsid w:val="009A100B"/>
    <w:rsid w:val="009A1912"/>
    <w:rsid w:val="009A48D8"/>
    <w:rsid w:val="009A70DE"/>
    <w:rsid w:val="009B3E8E"/>
    <w:rsid w:val="009B65A0"/>
    <w:rsid w:val="009C001A"/>
    <w:rsid w:val="009C0D12"/>
    <w:rsid w:val="009C2317"/>
    <w:rsid w:val="009C2D4C"/>
    <w:rsid w:val="009C39B2"/>
    <w:rsid w:val="009D556C"/>
    <w:rsid w:val="009D5B73"/>
    <w:rsid w:val="009F1EEF"/>
    <w:rsid w:val="00A0147C"/>
    <w:rsid w:val="00A059AF"/>
    <w:rsid w:val="00A13110"/>
    <w:rsid w:val="00A25781"/>
    <w:rsid w:val="00A32C1F"/>
    <w:rsid w:val="00A33372"/>
    <w:rsid w:val="00A343C0"/>
    <w:rsid w:val="00A363CA"/>
    <w:rsid w:val="00A37038"/>
    <w:rsid w:val="00A46845"/>
    <w:rsid w:val="00A50E4B"/>
    <w:rsid w:val="00A54407"/>
    <w:rsid w:val="00A65207"/>
    <w:rsid w:val="00A65668"/>
    <w:rsid w:val="00A77A30"/>
    <w:rsid w:val="00A921C1"/>
    <w:rsid w:val="00A921F5"/>
    <w:rsid w:val="00A9284F"/>
    <w:rsid w:val="00A931AD"/>
    <w:rsid w:val="00AA49E3"/>
    <w:rsid w:val="00AB1A03"/>
    <w:rsid w:val="00AB2073"/>
    <w:rsid w:val="00AC1508"/>
    <w:rsid w:val="00AC1897"/>
    <w:rsid w:val="00AC2227"/>
    <w:rsid w:val="00AC2DE9"/>
    <w:rsid w:val="00AC2F36"/>
    <w:rsid w:val="00AC6D7D"/>
    <w:rsid w:val="00AD4C71"/>
    <w:rsid w:val="00AD600E"/>
    <w:rsid w:val="00AD62A5"/>
    <w:rsid w:val="00AD6528"/>
    <w:rsid w:val="00AE6857"/>
    <w:rsid w:val="00AE72BE"/>
    <w:rsid w:val="00AF70E5"/>
    <w:rsid w:val="00B04755"/>
    <w:rsid w:val="00B102DE"/>
    <w:rsid w:val="00B10950"/>
    <w:rsid w:val="00B126D1"/>
    <w:rsid w:val="00B20E29"/>
    <w:rsid w:val="00B26364"/>
    <w:rsid w:val="00B33B35"/>
    <w:rsid w:val="00B375D6"/>
    <w:rsid w:val="00B421E6"/>
    <w:rsid w:val="00B424CE"/>
    <w:rsid w:val="00B45CD4"/>
    <w:rsid w:val="00B461B1"/>
    <w:rsid w:val="00B509BC"/>
    <w:rsid w:val="00B5453F"/>
    <w:rsid w:val="00B72C52"/>
    <w:rsid w:val="00B7523D"/>
    <w:rsid w:val="00B761EE"/>
    <w:rsid w:val="00B767A0"/>
    <w:rsid w:val="00B823BE"/>
    <w:rsid w:val="00B85110"/>
    <w:rsid w:val="00B85813"/>
    <w:rsid w:val="00B8618F"/>
    <w:rsid w:val="00B91A66"/>
    <w:rsid w:val="00B94FE9"/>
    <w:rsid w:val="00B95EC9"/>
    <w:rsid w:val="00B9736D"/>
    <w:rsid w:val="00BA06A2"/>
    <w:rsid w:val="00BA55C5"/>
    <w:rsid w:val="00BB10EE"/>
    <w:rsid w:val="00BB1C10"/>
    <w:rsid w:val="00BC1EF2"/>
    <w:rsid w:val="00BC382D"/>
    <w:rsid w:val="00BC6E80"/>
    <w:rsid w:val="00BC7223"/>
    <w:rsid w:val="00BD110E"/>
    <w:rsid w:val="00BD4211"/>
    <w:rsid w:val="00BE44AA"/>
    <w:rsid w:val="00BE4C05"/>
    <w:rsid w:val="00BE7A53"/>
    <w:rsid w:val="00BF52BC"/>
    <w:rsid w:val="00BF7CFA"/>
    <w:rsid w:val="00C259AF"/>
    <w:rsid w:val="00C27E4D"/>
    <w:rsid w:val="00C375B0"/>
    <w:rsid w:val="00C37B54"/>
    <w:rsid w:val="00C41079"/>
    <w:rsid w:val="00C4616E"/>
    <w:rsid w:val="00C46238"/>
    <w:rsid w:val="00C46582"/>
    <w:rsid w:val="00C51481"/>
    <w:rsid w:val="00C52B9C"/>
    <w:rsid w:val="00C61FDC"/>
    <w:rsid w:val="00C72906"/>
    <w:rsid w:val="00C773D7"/>
    <w:rsid w:val="00C8448B"/>
    <w:rsid w:val="00C93187"/>
    <w:rsid w:val="00CA6D8B"/>
    <w:rsid w:val="00CB0A7C"/>
    <w:rsid w:val="00CC69BD"/>
    <w:rsid w:val="00CD1C66"/>
    <w:rsid w:val="00CE017E"/>
    <w:rsid w:val="00CE0C3A"/>
    <w:rsid w:val="00CE146B"/>
    <w:rsid w:val="00CE4C94"/>
    <w:rsid w:val="00CF18D6"/>
    <w:rsid w:val="00D03296"/>
    <w:rsid w:val="00D03DB7"/>
    <w:rsid w:val="00D132E8"/>
    <w:rsid w:val="00D20891"/>
    <w:rsid w:val="00D20A53"/>
    <w:rsid w:val="00D23EF4"/>
    <w:rsid w:val="00D24E5F"/>
    <w:rsid w:val="00D66518"/>
    <w:rsid w:val="00D67004"/>
    <w:rsid w:val="00D70663"/>
    <w:rsid w:val="00D74CA9"/>
    <w:rsid w:val="00D764D9"/>
    <w:rsid w:val="00D82C7D"/>
    <w:rsid w:val="00D84F8E"/>
    <w:rsid w:val="00D85230"/>
    <w:rsid w:val="00DA289D"/>
    <w:rsid w:val="00DB581F"/>
    <w:rsid w:val="00DE1895"/>
    <w:rsid w:val="00DE2E38"/>
    <w:rsid w:val="00DF2811"/>
    <w:rsid w:val="00DF4A9C"/>
    <w:rsid w:val="00DF5A88"/>
    <w:rsid w:val="00E0471A"/>
    <w:rsid w:val="00E11794"/>
    <w:rsid w:val="00E13500"/>
    <w:rsid w:val="00E20EBA"/>
    <w:rsid w:val="00E217A8"/>
    <w:rsid w:val="00E37CC3"/>
    <w:rsid w:val="00E4138E"/>
    <w:rsid w:val="00E41F6F"/>
    <w:rsid w:val="00E427CF"/>
    <w:rsid w:val="00E55D2B"/>
    <w:rsid w:val="00E56505"/>
    <w:rsid w:val="00E60F93"/>
    <w:rsid w:val="00E71464"/>
    <w:rsid w:val="00E71D2B"/>
    <w:rsid w:val="00E725DB"/>
    <w:rsid w:val="00E77612"/>
    <w:rsid w:val="00E81F59"/>
    <w:rsid w:val="00E8283E"/>
    <w:rsid w:val="00E95755"/>
    <w:rsid w:val="00EA0EE5"/>
    <w:rsid w:val="00EA292B"/>
    <w:rsid w:val="00EA597C"/>
    <w:rsid w:val="00EB1301"/>
    <w:rsid w:val="00EB7150"/>
    <w:rsid w:val="00EC1DCE"/>
    <w:rsid w:val="00EC3232"/>
    <w:rsid w:val="00EC7D01"/>
    <w:rsid w:val="00ED7446"/>
    <w:rsid w:val="00EE063E"/>
    <w:rsid w:val="00EE4841"/>
    <w:rsid w:val="00F00A08"/>
    <w:rsid w:val="00F130B5"/>
    <w:rsid w:val="00F134A9"/>
    <w:rsid w:val="00F149DB"/>
    <w:rsid w:val="00F323D5"/>
    <w:rsid w:val="00F357BF"/>
    <w:rsid w:val="00F437C2"/>
    <w:rsid w:val="00F45C7C"/>
    <w:rsid w:val="00F47F8B"/>
    <w:rsid w:val="00F5512B"/>
    <w:rsid w:val="00F55FB5"/>
    <w:rsid w:val="00F66C2B"/>
    <w:rsid w:val="00F719B1"/>
    <w:rsid w:val="00F71FEE"/>
    <w:rsid w:val="00F74F15"/>
    <w:rsid w:val="00F8152D"/>
    <w:rsid w:val="00F91621"/>
    <w:rsid w:val="00F92258"/>
    <w:rsid w:val="00F92FDD"/>
    <w:rsid w:val="00F9310B"/>
    <w:rsid w:val="00F931C6"/>
    <w:rsid w:val="00F939A5"/>
    <w:rsid w:val="00F94074"/>
    <w:rsid w:val="00FB7587"/>
    <w:rsid w:val="00FD7716"/>
    <w:rsid w:val="00FE41FC"/>
    <w:rsid w:val="00FF0AA1"/>
    <w:rsid w:val="00FF1E4A"/>
    <w:rsid w:val="00FF77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95E7"/>
  <w15:docId w15:val="{21829036-0539-4FCB-98DC-C6DAFD7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287"/>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287"/>
    <w:pPr>
      <w:ind w:left="720"/>
      <w:contextualSpacing/>
    </w:pPr>
  </w:style>
  <w:style w:type="paragraph" w:customStyle="1" w:styleId="listparagraph">
    <w:name w:val="listparagraph"/>
    <w:basedOn w:val="a"/>
    <w:rsid w:val="00F9310B"/>
    <w:pPr>
      <w:spacing w:after="200" w:line="276" w:lineRule="auto"/>
      <w:ind w:left="720"/>
    </w:pPr>
    <w:rPr>
      <w:rFonts w:ascii="Calibri" w:hAnsi="Calibri" w:cs="Calibri"/>
      <w:lang w:eastAsia="el-GR"/>
    </w:rPr>
  </w:style>
  <w:style w:type="paragraph" w:styleId="Web">
    <w:name w:val="Normal (Web)"/>
    <w:basedOn w:val="a"/>
    <w:uiPriority w:val="99"/>
    <w:unhideWhenUsed/>
    <w:rsid w:val="00F437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annotation reference"/>
    <w:basedOn w:val="a0"/>
    <w:uiPriority w:val="99"/>
    <w:semiHidden/>
    <w:unhideWhenUsed/>
    <w:rsid w:val="00F437C2"/>
    <w:rPr>
      <w:sz w:val="16"/>
      <w:szCs w:val="16"/>
    </w:rPr>
  </w:style>
  <w:style w:type="paragraph" w:styleId="a5">
    <w:name w:val="annotation text"/>
    <w:basedOn w:val="a"/>
    <w:link w:val="Char"/>
    <w:uiPriority w:val="99"/>
    <w:unhideWhenUsed/>
    <w:rsid w:val="00F437C2"/>
    <w:pPr>
      <w:spacing w:after="200" w:line="240" w:lineRule="auto"/>
    </w:pPr>
    <w:rPr>
      <w:sz w:val="20"/>
      <w:szCs w:val="20"/>
    </w:rPr>
  </w:style>
  <w:style w:type="character" w:customStyle="1" w:styleId="Char">
    <w:name w:val="Κείμενο σχολίου Char"/>
    <w:basedOn w:val="a0"/>
    <w:link w:val="a5"/>
    <w:uiPriority w:val="99"/>
    <w:rsid w:val="00F437C2"/>
    <w:rPr>
      <w:sz w:val="20"/>
      <w:szCs w:val="20"/>
      <w:lang w:val="el-GR"/>
    </w:rPr>
  </w:style>
  <w:style w:type="paragraph" w:styleId="a6">
    <w:name w:val="Balloon Text"/>
    <w:basedOn w:val="a"/>
    <w:link w:val="Char0"/>
    <w:uiPriority w:val="99"/>
    <w:semiHidden/>
    <w:unhideWhenUsed/>
    <w:rsid w:val="00F437C2"/>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F437C2"/>
    <w:rPr>
      <w:rFonts w:ascii="Segoe UI" w:hAnsi="Segoe UI" w:cs="Segoe UI"/>
      <w:sz w:val="18"/>
      <w:szCs w:val="18"/>
      <w:lang w:val="el-GR"/>
    </w:rPr>
  </w:style>
  <w:style w:type="paragraph" w:styleId="a7">
    <w:name w:val="annotation subject"/>
    <w:basedOn w:val="a5"/>
    <w:next w:val="a5"/>
    <w:link w:val="Char1"/>
    <w:uiPriority w:val="99"/>
    <w:semiHidden/>
    <w:unhideWhenUsed/>
    <w:rsid w:val="00F437C2"/>
    <w:pPr>
      <w:spacing w:after="160"/>
    </w:pPr>
    <w:rPr>
      <w:b/>
      <w:bCs/>
    </w:rPr>
  </w:style>
  <w:style w:type="character" w:customStyle="1" w:styleId="Char1">
    <w:name w:val="Θέμα σχολίου Char"/>
    <w:basedOn w:val="Char"/>
    <w:link w:val="a7"/>
    <w:uiPriority w:val="99"/>
    <w:semiHidden/>
    <w:rsid w:val="00F437C2"/>
    <w:rPr>
      <w:b/>
      <w:bCs/>
      <w:sz w:val="20"/>
      <w:szCs w:val="20"/>
      <w:lang w:val="el-GR"/>
    </w:rPr>
  </w:style>
  <w:style w:type="character" w:styleId="a8">
    <w:name w:val="Strong"/>
    <w:basedOn w:val="a0"/>
    <w:uiPriority w:val="22"/>
    <w:qFormat/>
    <w:rsid w:val="00790861"/>
    <w:rPr>
      <w:b/>
      <w:bCs/>
    </w:rPr>
  </w:style>
  <w:style w:type="paragraph" w:styleId="a9">
    <w:name w:val="header"/>
    <w:basedOn w:val="a"/>
    <w:link w:val="Char2"/>
    <w:uiPriority w:val="99"/>
    <w:unhideWhenUsed/>
    <w:rsid w:val="007A09F3"/>
    <w:pPr>
      <w:tabs>
        <w:tab w:val="center" w:pos="4320"/>
        <w:tab w:val="right" w:pos="8640"/>
      </w:tabs>
      <w:spacing w:after="0" w:line="240" w:lineRule="auto"/>
    </w:pPr>
  </w:style>
  <w:style w:type="character" w:customStyle="1" w:styleId="Char2">
    <w:name w:val="Κεφαλίδα Char"/>
    <w:basedOn w:val="a0"/>
    <w:link w:val="a9"/>
    <w:uiPriority w:val="99"/>
    <w:rsid w:val="007A09F3"/>
    <w:rPr>
      <w:lang w:val="el-GR"/>
    </w:rPr>
  </w:style>
  <w:style w:type="paragraph" w:styleId="aa">
    <w:name w:val="footer"/>
    <w:basedOn w:val="a"/>
    <w:link w:val="Char3"/>
    <w:uiPriority w:val="99"/>
    <w:unhideWhenUsed/>
    <w:rsid w:val="007A09F3"/>
    <w:pPr>
      <w:tabs>
        <w:tab w:val="center" w:pos="4320"/>
        <w:tab w:val="right" w:pos="8640"/>
      </w:tabs>
      <w:spacing w:after="0" w:line="240" w:lineRule="auto"/>
    </w:pPr>
  </w:style>
  <w:style w:type="character" w:customStyle="1" w:styleId="Char3">
    <w:name w:val="Υποσέλιδο Char"/>
    <w:basedOn w:val="a0"/>
    <w:link w:val="aa"/>
    <w:uiPriority w:val="99"/>
    <w:rsid w:val="007A09F3"/>
    <w:rPr>
      <w:lang w:val="el-GR"/>
    </w:rPr>
  </w:style>
  <w:style w:type="paragraph" w:styleId="-HTML">
    <w:name w:val="HTML Preformatted"/>
    <w:basedOn w:val="a"/>
    <w:link w:val="-HTMLChar"/>
    <w:uiPriority w:val="99"/>
    <w:unhideWhenUsed/>
    <w:rsid w:val="00635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635F4A"/>
    <w:rPr>
      <w:rFonts w:ascii="Consolas" w:eastAsia="Calibri" w:hAnsi="Consolas" w:cs="Times New Roman"/>
      <w:sz w:val="20"/>
      <w:szCs w:val="20"/>
      <w:lang w:val="el-GR"/>
    </w:rPr>
  </w:style>
  <w:style w:type="paragraph" w:styleId="ab">
    <w:name w:val="Revision"/>
    <w:hidden/>
    <w:uiPriority w:val="99"/>
    <w:semiHidden/>
    <w:rsid w:val="00A0147C"/>
    <w:pPr>
      <w:spacing w:after="0" w:line="240" w:lineRule="auto"/>
    </w:pPr>
    <w:rPr>
      <w:lang w:val="el-GR"/>
    </w:rPr>
  </w:style>
  <w:style w:type="table" w:styleId="ac">
    <w:name w:val="Table Grid"/>
    <w:basedOn w:val="a1"/>
    <w:uiPriority w:val="59"/>
    <w:rsid w:val="00C4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6458">
      <w:bodyDiv w:val="1"/>
      <w:marLeft w:val="0"/>
      <w:marRight w:val="0"/>
      <w:marTop w:val="0"/>
      <w:marBottom w:val="0"/>
      <w:divBdr>
        <w:top w:val="none" w:sz="0" w:space="0" w:color="auto"/>
        <w:left w:val="none" w:sz="0" w:space="0" w:color="auto"/>
        <w:bottom w:val="none" w:sz="0" w:space="0" w:color="auto"/>
        <w:right w:val="none" w:sz="0" w:space="0" w:color="auto"/>
      </w:divBdr>
    </w:div>
    <w:div w:id="578372860">
      <w:bodyDiv w:val="1"/>
      <w:marLeft w:val="0"/>
      <w:marRight w:val="0"/>
      <w:marTop w:val="0"/>
      <w:marBottom w:val="0"/>
      <w:divBdr>
        <w:top w:val="none" w:sz="0" w:space="0" w:color="auto"/>
        <w:left w:val="none" w:sz="0" w:space="0" w:color="auto"/>
        <w:bottom w:val="none" w:sz="0" w:space="0" w:color="auto"/>
        <w:right w:val="none" w:sz="0" w:space="0" w:color="auto"/>
      </w:divBdr>
    </w:div>
    <w:div w:id="1056274655">
      <w:bodyDiv w:val="1"/>
      <w:marLeft w:val="0"/>
      <w:marRight w:val="0"/>
      <w:marTop w:val="0"/>
      <w:marBottom w:val="0"/>
      <w:divBdr>
        <w:top w:val="none" w:sz="0" w:space="0" w:color="auto"/>
        <w:left w:val="none" w:sz="0" w:space="0" w:color="auto"/>
        <w:bottom w:val="none" w:sz="0" w:space="0" w:color="auto"/>
        <w:right w:val="none" w:sz="0" w:space="0" w:color="auto"/>
      </w:divBdr>
    </w:div>
    <w:div w:id="1680083286">
      <w:bodyDiv w:val="1"/>
      <w:marLeft w:val="0"/>
      <w:marRight w:val="0"/>
      <w:marTop w:val="0"/>
      <w:marBottom w:val="0"/>
      <w:divBdr>
        <w:top w:val="none" w:sz="0" w:space="0" w:color="auto"/>
        <w:left w:val="none" w:sz="0" w:space="0" w:color="auto"/>
        <w:bottom w:val="none" w:sz="0" w:space="0" w:color="auto"/>
        <w:right w:val="none" w:sz="0" w:space="0" w:color="auto"/>
      </w:divBdr>
    </w:div>
    <w:div w:id="1775132600">
      <w:bodyDiv w:val="1"/>
      <w:marLeft w:val="0"/>
      <w:marRight w:val="0"/>
      <w:marTop w:val="0"/>
      <w:marBottom w:val="0"/>
      <w:divBdr>
        <w:top w:val="none" w:sz="0" w:space="0" w:color="auto"/>
        <w:left w:val="none" w:sz="0" w:space="0" w:color="auto"/>
        <w:bottom w:val="none" w:sz="0" w:space="0" w:color="auto"/>
        <w:right w:val="none" w:sz="0" w:space="0" w:color="auto"/>
      </w:divBdr>
    </w:div>
    <w:div w:id="2129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6003</Words>
  <Characters>32417</Characters>
  <Application>Microsoft Office Word</Application>
  <DocSecurity>0</DocSecurity>
  <Lines>270</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Koulouri</dc:creator>
  <cp:keywords/>
  <dc:description/>
  <cp:lastModifiedBy>user</cp:lastModifiedBy>
  <cp:revision>2</cp:revision>
  <cp:lastPrinted>2020-12-03T07:58:00Z</cp:lastPrinted>
  <dcterms:created xsi:type="dcterms:W3CDTF">2020-12-04T07:22:00Z</dcterms:created>
  <dcterms:modified xsi:type="dcterms:W3CDTF">2020-12-04T07:22:00Z</dcterms:modified>
</cp:coreProperties>
</file>